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622882178"/>
        <w:docPartObj>
          <w:docPartGallery w:val="Cover Pages"/>
          <w:docPartUnique/>
        </w:docPartObj>
      </w:sdtPr>
      <w:sdtEndPr>
        <w:rPr>
          <w:rFonts w:ascii="Times New Roman" w:hAnsi="Times New Roman" w:cs="Times New Roman"/>
        </w:rPr>
      </w:sdtEndPr>
      <w:sdtContent>
        <w:p w14:paraId="1E0B96A0" w14:textId="77777777" w:rsidR="00E93A16" w:rsidRPr="00930FE4" w:rsidRDefault="00E93A16" w:rsidP="00E93A16">
          <w:pPr>
            <w:jc w:val="center"/>
            <w:rPr>
              <w:rFonts w:ascii="Times New Roman" w:hAnsi="Times New Roman" w:cs="Times New Roman"/>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0FE4">
            <w:rPr>
              <w:rFonts w:ascii="Times New Roman" w:hAnsi="Times New Roman" w:cs="Times New Roman"/>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UNIVERSITE CHEIKH ANTA DIOP DE DAKAR-SENEGAL</w:t>
          </w:r>
        </w:p>
        <w:p w14:paraId="7B797C65" w14:textId="4E7D1983" w:rsidR="00E93A16" w:rsidRDefault="00E93A16" w:rsidP="00E93A16">
          <w:pPr>
            <w:rPr>
              <w:rFonts w:ascii="Times New Roman" w:hAnsi="Times New Roman" w:cs="Times New Roman"/>
              <w:color w:val="000000" w:themeColor="text1"/>
              <w:sz w:val="28"/>
              <w:szCs w:val="28"/>
            </w:rPr>
          </w:pPr>
        </w:p>
        <w:p w14:paraId="6FB32411" w14:textId="7EA61EC8" w:rsidR="00D946D0" w:rsidRDefault="00D946D0"/>
        <w:p w14:paraId="535C944B" w14:textId="722FAB80" w:rsidR="00D150D5" w:rsidRDefault="00022567" w:rsidP="00BF13A3">
          <w:pPr>
            <w:jc w:val="center"/>
            <w:rPr>
              <w:color w:val="404040" w:themeColor="text1" w:themeTint="BF"/>
              <w:sz w:val="44"/>
              <w:szCs w:val="44"/>
            </w:rPr>
          </w:pPr>
          <w:r w:rsidRPr="00022567">
            <w:rPr>
              <w:noProof/>
              <w:color w:val="404040" w:themeColor="text1" w:themeTint="BF"/>
              <w:sz w:val="44"/>
              <w:szCs w:val="44"/>
              <w:lang w:val="fr-FR" w:eastAsia="fr-FR"/>
            </w:rPr>
            <w:drawing>
              <wp:inline distT="0" distB="0" distL="0" distR="0" wp14:anchorId="29D34503" wp14:editId="021C9157">
                <wp:extent cx="1201405" cy="1096085"/>
                <wp:effectExtent l="0" t="0" r="5715" b="0"/>
                <wp:docPr id="14338" name="Image 4">
                  <a:extLst xmlns:a="http://schemas.openxmlformats.org/drawingml/2006/main">
                    <a:ext uri="{FF2B5EF4-FFF2-40B4-BE49-F238E27FC236}">
                      <a16:creationId xmlns:a16="http://schemas.microsoft.com/office/drawing/2014/main" id="{2102286B-EC48-F95C-D64B-3F45B09043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Image 4">
                          <a:extLst>
                            <a:ext uri="{FF2B5EF4-FFF2-40B4-BE49-F238E27FC236}">
                              <a16:creationId xmlns:a16="http://schemas.microsoft.com/office/drawing/2014/main" id="{2102286B-EC48-F95C-D64B-3F45B090434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62" cy="1165657"/>
                        </a:xfrm>
                        <a:prstGeom prst="rect">
                          <a:avLst/>
                        </a:prstGeom>
                        <a:noFill/>
                        <a:ln>
                          <a:noFill/>
                        </a:ln>
                      </pic:spPr>
                    </pic:pic>
                  </a:graphicData>
                </a:graphic>
              </wp:inline>
            </w:drawing>
          </w:r>
        </w:p>
        <w:p w14:paraId="5645E847" w14:textId="77777777" w:rsidR="00D150D5" w:rsidRDefault="00D150D5" w:rsidP="00D150D5">
          <w:pPr>
            <w:jc w:val="both"/>
            <w:rPr>
              <w:color w:val="404040" w:themeColor="text1" w:themeTint="BF"/>
              <w:sz w:val="44"/>
              <w:szCs w:val="44"/>
            </w:rPr>
          </w:pPr>
        </w:p>
        <w:p w14:paraId="635207E6" w14:textId="13CE040F" w:rsidR="00D150D5" w:rsidRDefault="00022567" w:rsidP="00BF13A3">
          <w:pPr>
            <w:jc w:val="center"/>
            <w:rPr>
              <w:color w:val="404040" w:themeColor="text1" w:themeTint="BF"/>
              <w:sz w:val="44"/>
              <w:szCs w:val="44"/>
            </w:rPr>
          </w:pPr>
          <w:r w:rsidRPr="006E4EFE">
            <w:rPr>
              <w:rFonts w:ascii="Times New Roman" w:hAnsi="Times New Roman" w:cs="Times New Roman"/>
              <w:b/>
              <w:bCs/>
              <w:noProof/>
              <w:lang w:val="fr-FR" w:eastAsia="fr-FR"/>
            </w:rPr>
            <w:drawing>
              <wp:inline distT="0" distB="0" distL="0" distR="0" wp14:anchorId="617E7F33" wp14:editId="45D79284">
                <wp:extent cx="2261208" cy="9412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1256" cy="1066168"/>
                        </a:xfrm>
                        <a:prstGeom prst="rect">
                          <a:avLst/>
                        </a:prstGeom>
                      </pic:spPr>
                    </pic:pic>
                  </a:graphicData>
                </a:graphic>
              </wp:inline>
            </w:drawing>
          </w:r>
        </w:p>
        <w:p w14:paraId="51827AA6" w14:textId="4CDE02DA" w:rsidR="00D150D5" w:rsidRDefault="00D150D5" w:rsidP="00D150D5">
          <w:pPr>
            <w:jc w:val="both"/>
            <w:rPr>
              <w:color w:val="404040" w:themeColor="text1" w:themeTint="BF"/>
              <w:sz w:val="44"/>
              <w:szCs w:val="44"/>
            </w:rPr>
          </w:pPr>
        </w:p>
        <w:p w14:paraId="3A3577CA" w14:textId="7C20428D" w:rsidR="00D150D5" w:rsidRDefault="00015E1F" w:rsidP="00D150D5">
          <w:pPr>
            <w:jc w:val="both"/>
            <w:rPr>
              <w:color w:val="404040" w:themeColor="text1" w:themeTint="BF"/>
              <w:sz w:val="44"/>
              <w:szCs w:val="44"/>
            </w:rPr>
          </w:pPr>
          <w:r w:rsidRPr="006E4EFE">
            <w:rPr>
              <w:rFonts w:ascii="Times New Roman" w:hAnsi="Times New Roman" w:cs="Times New Roman"/>
              <w:b/>
              <w:bCs/>
              <w:noProof/>
              <w:lang w:val="fr-FR" w:eastAsia="fr-FR"/>
            </w:rPr>
            <mc:AlternateContent>
              <mc:Choice Requires="wps">
                <w:drawing>
                  <wp:anchor distT="0" distB="0" distL="114300" distR="114300" simplePos="0" relativeHeight="251666432" behindDoc="0" locked="0" layoutInCell="1" allowOverlap="1" wp14:anchorId="711207F8" wp14:editId="1321D810">
                    <wp:simplePos x="0" y="0"/>
                    <wp:positionH relativeFrom="column">
                      <wp:posOffset>-77943</wp:posOffset>
                    </wp:positionH>
                    <wp:positionV relativeFrom="paragraph">
                      <wp:posOffset>114300</wp:posOffset>
                    </wp:positionV>
                    <wp:extent cx="6262370" cy="988695"/>
                    <wp:effectExtent l="0" t="0" r="0" b="0"/>
                    <wp:wrapNone/>
                    <wp:docPr id="25" name="Title 1">
                      <a:extLst xmlns:a="http://schemas.openxmlformats.org/drawingml/2006/main">
                        <a:ext uri="{FF2B5EF4-FFF2-40B4-BE49-F238E27FC236}">
                          <a16:creationId xmlns:a16="http://schemas.microsoft.com/office/drawing/2014/main" id="{D65526FE-8292-B61D-0E4F-DE15FB6FCF7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26237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A05A3" w14:textId="77777777" w:rsidR="008D7A30" w:rsidRDefault="008D7A30" w:rsidP="00022567">
                                <w:pPr>
                                  <w:jc w:val="center"/>
                                  <w:rPr>
                                    <w:rFonts w:asciiTheme="majorHAnsi" w:eastAsiaTheme="majorEastAsia" w:hAnsi="Calibri Light" w:cstheme="majorBidi"/>
                                    <w:b/>
                                    <w:bCs/>
                                    <w:color w:val="000000" w:themeColor="text1"/>
                                    <w:kern w:val="24"/>
                                    <w:sz w:val="32"/>
                                    <w:szCs w:val="32"/>
                                  </w:rPr>
                                </w:pPr>
                                <w:r w:rsidRPr="00BF13A3">
                                  <w:rPr>
                                    <w:rFonts w:asciiTheme="majorHAnsi" w:eastAsiaTheme="majorEastAsia" w:hAnsi="Calibri Light" w:cstheme="majorBidi"/>
                                    <w:b/>
                                    <w:bCs/>
                                    <w:color w:val="000000" w:themeColor="text1"/>
                                    <w:kern w:val="24"/>
                                  </w:rPr>
                                  <w:br/>
                                </w:r>
                                <w:r w:rsidRPr="00BF13A3">
                                  <w:rPr>
                                    <w:rFonts w:asciiTheme="majorHAnsi" w:eastAsiaTheme="majorEastAsia" w:hAnsi="Calibri Light" w:cstheme="majorBidi"/>
                                    <w:b/>
                                    <w:bCs/>
                                    <w:color w:val="000000" w:themeColor="text1"/>
                                    <w:kern w:val="24"/>
                                    <w:sz w:val="22"/>
                                    <w:szCs w:val="22"/>
                                  </w:rPr>
                                  <w:t xml:space="preserve"> </w:t>
                                </w:r>
                                <w:r w:rsidRPr="00BF13A3">
                                  <w:rPr>
                                    <w:rFonts w:asciiTheme="majorHAnsi" w:eastAsiaTheme="majorEastAsia" w:hAnsi="Calibri Light" w:cstheme="majorBidi"/>
                                    <w:b/>
                                    <w:bCs/>
                                    <w:color w:val="000000" w:themeColor="text1"/>
                                    <w:kern w:val="24"/>
                                    <w:sz w:val="32"/>
                                    <w:szCs w:val="32"/>
                                  </w:rPr>
                                  <w:t>CENTRE D’EXCELLENCE AFRICAIN POUR L’IMPACT</w:t>
                                </w:r>
                                <w:r w:rsidRPr="00BF13A3">
                                  <w:rPr>
                                    <w:rFonts w:asciiTheme="majorHAnsi" w:eastAsiaTheme="majorEastAsia" w:hAnsi="Calibri Light" w:cstheme="majorBidi"/>
                                    <w:b/>
                                    <w:bCs/>
                                    <w:color w:val="000000" w:themeColor="text1"/>
                                    <w:kern w:val="24"/>
                                    <w:sz w:val="32"/>
                                    <w:szCs w:val="32"/>
                                  </w:rPr>
                                  <w:br/>
                                </w:r>
                                <w:r w:rsidRPr="00BF13A3">
                                  <w:rPr>
                                    <w:rFonts w:asciiTheme="majorHAnsi" w:eastAsiaTheme="majorEastAsia" w:hAnsi="Calibri Light" w:cstheme="majorBidi"/>
                                    <w:b/>
                                    <w:bCs/>
                                    <w:color w:val="000000" w:themeColor="text1"/>
                                    <w:kern w:val="24"/>
                                    <w:sz w:val="32"/>
                                    <w:szCs w:val="32"/>
                                    <w:lang w:val="fr-FR"/>
                                  </w:rPr>
                                  <w:t xml:space="preserve">" </w:t>
                                </w:r>
                                <w:r w:rsidRPr="00BF13A3">
                                  <w:rPr>
                                    <w:rFonts w:asciiTheme="majorHAnsi" w:eastAsiaTheme="majorEastAsia" w:hAnsi="Calibri Light" w:cstheme="majorBidi"/>
                                    <w:b/>
                                    <w:bCs/>
                                    <w:color w:val="000000" w:themeColor="text1"/>
                                    <w:kern w:val="24"/>
                                    <w:sz w:val="32"/>
                                    <w:szCs w:val="32"/>
                                  </w:rPr>
                                  <w:t xml:space="preserve">AGRICULTURE POUR LA </w:t>
                                </w:r>
                                <w:r w:rsidRPr="00BF13A3">
                                  <w:rPr>
                                    <w:rFonts w:asciiTheme="majorHAnsi" w:eastAsiaTheme="majorEastAsia" w:hAnsi="Calibri Light" w:cstheme="majorBidi"/>
                                    <w:b/>
                                    <w:bCs/>
                                    <w:color w:val="000000" w:themeColor="text1"/>
                                    <w:kern w:val="24"/>
                                    <w:sz w:val="32"/>
                                    <w:szCs w:val="32"/>
                                    <w:lang w:val="fr-FR"/>
                                  </w:rPr>
                                  <w:t xml:space="preserve"> </w:t>
                                </w:r>
                                <w:r w:rsidRPr="00BF13A3">
                                  <w:rPr>
                                    <w:rFonts w:asciiTheme="majorHAnsi" w:eastAsiaTheme="majorEastAsia" w:hAnsi="Calibri Light" w:cstheme="majorBidi"/>
                                    <w:b/>
                                    <w:bCs/>
                                    <w:color w:val="000000" w:themeColor="text1"/>
                                    <w:kern w:val="24"/>
                                    <w:sz w:val="32"/>
                                    <w:szCs w:val="32"/>
                                  </w:rPr>
                                  <w:t>SECURITE ALIMENTAIRE ET NUTRITIONNELLE</w:t>
                                </w:r>
                              </w:p>
                              <w:p w14:paraId="4CF78AB0" w14:textId="4ECCF684" w:rsidR="008D7A30" w:rsidRPr="00BF13A3" w:rsidRDefault="008D7A30" w:rsidP="00022567">
                                <w:pPr>
                                  <w:jc w:val="center"/>
                                  <w:rPr>
                                    <w:rFonts w:asciiTheme="majorHAnsi" w:eastAsiaTheme="majorEastAsia" w:hAnsi="Calibri Light" w:cstheme="majorBidi"/>
                                    <w:b/>
                                    <w:bCs/>
                                    <w:color w:val="000000" w:themeColor="text1"/>
                                    <w:kern w:val="24"/>
                                  </w:rPr>
                                </w:pPr>
                                <w:r w:rsidRPr="00BF13A3">
                                  <w:rPr>
                                    <w:rFonts w:asciiTheme="majorHAnsi" w:eastAsiaTheme="majorEastAsia" w:hAnsi="Calibri Light" w:cstheme="majorBidi"/>
                                    <w:b/>
                                    <w:bCs/>
                                    <w:color w:val="000000" w:themeColor="text1"/>
                                    <w:kern w:val="24"/>
                                    <w:sz w:val="22"/>
                                    <w:szCs w:val="22"/>
                                  </w:rPr>
                                  <w:t>(</w:t>
                                </w:r>
                                <w:r w:rsidRPr="00BF13A3">
                                  <w:rPr>
                                    <w:rFonts w:asciiTheme="majorHAnsi" w:eastAsiaTheme="majorEastAsia" w:hAnsi="Calibri Light" w:cstheme="majorBidi"/>
                                    <w:b/>
                                    <w:bCs/>
                                    <w:color w:val="000000" w:themeColor="text1"/>
                                    <w:kern w:val="24"/>
                                    <w:sz w:val="22"/>
                                    <w:szCs w:val="22"/>
                                    <w:lang w:val="fr-FR"/>
                                  </w:rPr>
                                  <w:t>www.ceaagrisan.sn</w:t>
                                </w:r>
                                <w:r w:rsidRPr="00BF13A3">
                                  <w:rPr>
                                    <w:rFonts w:asciiTheme="majorHAnsi" w:eastAsiaTheme="majorEastAsia" w:hAnsi="Calibri Light" w:cstheme="majorBidi"/>
                                    <w:b/>
                                    <w:bCs/>
                                    <w:color w:val="000000" w:themeColor="text1"/>
                                    <w:kern w:val="24"/>
                                    <w:sz w:val="22"/>
                                    <w:szCs w:val="22"/>
                                  </w:rPr>
                                  <w:t>)</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07F8" id="Title 1" o:spid="_x0000_s1026" style="position:absolute;left:0;text-align:left;margin-left:-6.15pt;margin-top:9pt;width:493.1pt;height:7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" filled="f" stroked="f">
                    <v:path arrowok="t"/>
                    <o:lock v:ext="edit" grouping="t"/>
                    <v:textbox>
                      <w:txbxContent>
                        <w:p w14:paraId="281A05A3" w14:textId="77777777" w:rsidR="008D7A30" w:rsidRDefault="008D7A30" w:rsidP="00022567">
                          <w:pPr>
                            <w:jc w:val="center"/>
                            <w:rPr>
                              <w:rFonts w:asciiTheme="majorHAnsi" w:eastAsiaTheme="majorEastAsia" w:hAnsi="Calibri Light" w:cstheme="majorBidi"/>
                              <w:b/>
                              <w:bCs/>
                              <w:color w:val="000000" w:themeColor="text1"/>
                              <w:kern w:val="24"/>
                              <w:sz w:val="32"/>
                              <w:szCs w:val="32"/>
                            </w:rPr>
                          </w:pPr>
                          <w:r w:rsidRPr="00BF13A3">
                            <w:rPr>
                              <w:rFonts w:asciiTheme="majorHAnsi" w:eastAsiaTheme="majorEastAsia" w:hAnsi="Calibri Light" w:cstheme="majorBidi"/>
                              <w:b/>
                              <w:bCs/>
                              <w:color w:val="000000" w:themeColor="text1"/>
                              <w:kern w:val="24"/>
                            </w:rPr>
                            <w:br/>
                          </w:r>
                          <w:r w:rsidRPr="00BF13A3">
                            <w:rPr>
                              <w:rFonts w:asciiTheme="majorHAnsi" w:eastAsiaTheme="majorEastAsia" w:hAnsi="Calibri Light" w:cstheme="majorBidi"/>
                              <w:b/>
                              <w:bCs/>
                              <w:color w:val="000000" w:themeColor="text1"/>
                              <w:kern w:val="24"/>
                              <w:sz w:val="22"/>
                              <w:szCs w:val="22"/>
                            </w:rPr>
                            <w:t xml:space="preserve"> </w:t>
                          </w:r>
                          <w:r w:rsidRPr="00BF13A3">
                            <w:rPr>
                              <w:rFonts w:asciiTheme="majorHAnsi" w:eastAsiaTheme="majorEastAsia" w:hAnsi="Calibri Light" w:cstheme="majorBidi"/>
                              <w:b/>
                              <w:bCs/>
                              <w:color w:val="000000" w:themeColor="text1"/>
                              <w:kern w:val="24"/>
                              <w:sz w:val="32"/>
                              <w:szCs w:val="32"/>
                            </w:rPr>
                            <w:t>CENTRE D’EXCELLENCE AFRICAIN POUR L’IMPACT</w:t>
                          </w:r>
                          <w:r w:rsidRPr="00BF13A3">
                            <w:rPr>
                              <w:rFonts w:asciiTheme="majorHAnsi" w:eastAsiaTheme="majorEastAsia" w:hAnsi="Calibri Light" w:cstheme="majorBidi"/>
                              <w:b/>
                              <w:bCs/>
                              <w:color w:val="000000" w:themeColor="text1"/>
                              <w:kern w:val="24"/>
                              <w:sz w:val="32"/>
                              <w:szCs w:val="32"/>
                            </w:rPr>
                            <w:br/>
                          </w:r>
                          <w:r w:rsidRPr="00BF13A3">
                            <w:rPr>
                              <w:rFonts w:asciiTheme="majorHAnsi" w:eastAsiaTheme="majorEastAsia" w:hAnsi="Calibri Light" w:cstheme="majorBidi"/>
                              <w:b/>
                              <w:bCs/>
                              <w:color w:val="000000" w:themeColor="text1"/>
                              <w:kern w:val="24"/>
                              <w:sz w:val="32"/>
                              <w:szCs w:val="32"/>
                              <w:lang w:val="fr-FR"/>
                            </w:rPr>
                            <w:t xml:space="preserve">" </w:t>
                          </w:r>
                          <w:r w:rsidRPr="00BF13A3">
                            <w:rPr>
                              <w:rFonts w:asciiTheme="majorHAnsi" w:eastAsiaTheme="majorEastAsia" w:hAnsi="Calibri Light" w:cstheme="majorBidi"/>
                              <w:b/>
                              <w:bCs/>
                              <w:color w:val="000000" w:themeColor="text1"/>
                              <w:kern w:val="24"/>
                              <w:sz w:val="32"/>
                              <w:szCs w:val="32"/>
                            </w:rPr>
                            <w:t xml:space="preserve">AGRICULTURE POUR LA </w:t>
                          </w:r>
                          <w:r w:rsidRPr="00BF13A3">
                            <w:rPr>
                              <w:rFonts w:asciiTheme="majorHAnsi" w:eastAsiaTheme="majorEastAsia" w:hAnsi="Calibri Light" w:cstheme="majorBidi"/>
                              <w:b/>
                              <w:bCs/>
                              <w:color w:val="000000" w:themeColor="text1"/>
                              <w:kern w:val="24"/>
                              <w:sz w:val="32"/>
                              <w:szCs w:val="32"/>
                              <w:lang w:val="fr-FR"/>
                            </w:rPr>
                            <w:t xml:space="preserve"> </w:t>
                          </w:r>
                          <w:r w:rsidRPr="00BF13A3">
                            <w:rPr>
                              <w:rFonts w:asciiTheme="majorHAnsi" w:eastAsiaTheme="majorEastAsia" w:hAnsi="Calibri Light" w:cstheme="majorBidi"/>
                              <w:b/>
                              <w:bCs/>
                              <w:color w:val="000000" w:themeColor="text1"/>
                              <w:kern w:val="24"/>
                              <w:sz w:val="32"/>
                              <w:szCs w:val="32"/>
                            </w:rPr>
                            <w:t>SECURITE ALIMENTAIRE ET NUTRITIONNELLE</w:t>
                          </w:r>
                        </w:p>
                        <w:p w14:paraId="4CF78AB0" w14:textId="4ECCF684" w:rsidR="008D7A30" w:rsidRPr="00BF13A3" w:rsidRDefault="008D7A30" w:rsidP="00022567">
                          <w:pPr>
                            <w:jc w:val="center"/>
                            <w:rPr>
                              <w:rFonts w:asciiTheme="majorHAnsi" w:eastAsiaTheme="majorEastAsia" w:hAnsi="Calibri Light" w:cstheme="majorBidi"/>
                              <w:b/>
                              <w:bCs/>
                              <w:color w:val="000000" w:themeColor="text1"/>
                              <w:kern w:val="24"/>
                            </w:rPr>
                          </w:pPr>
                          <w:r w:rsidRPr="00BF13A3">
                            <w:rPr>
                              <w:rFonts w:asciiTheme="majorHAnsi" w:eastAsiaTheme="majorEastAsia" w:hAnsi="Calibri Light" w:cstheme="majorBidi"/>
                              <w:b/>
                              <w:bCs/>
                              <w:color w:val="000000" w:themeColor="text1"/>
                              <w:kern w:val="24"/>
                              <w:sz w:val="22"/>
                              <w:szCs w:val="22"/>
                            </w:rPr>
                            <w:t>(</w:t>
                          </w:r>
                          <w:r w:rsidRPr="00BF13A3">
                            <w:rPr>
                              <w:rFonts w:asciiTheme="majorHAnsi" w:eastAsiaTheme="majorEastAsia" w:hAnsi="Calibri Light" w:cstheme="majorBidi"/>
                              <w:b/>
                              <w:bCs/>
                              <w:color w:val="000000" w:themeColor="text1"/>
                              <w:kern w:val="24"/>
                              <w:sz w:val="22"/>
                              <w:szCs w:val="22"/>
                              <w:lang w:val="fr-FR"/>
                            </w:rPr>
                            <w:t>www.ceaagrisan.sn</w:t>
                          </w:r>
                          <w:r w:rsidRPr="00BF13A3">
                            <w:rPr>
                              <w:rFonts w:asciiTheme="majorHAnsi" w:eastAsiaTheme="majorEastAsia" w:hAnsi="Calibri Light" w:cstheme="majorBidi"/>
                              <w:b/>
                              <w:bCs/>
                              <w:color w:val="000000" w:themeColor="text1"/>
                              <w:kern w:val="24"/>
                              <w:sz w:val="22"/>
                              <w:szCs w:val="22"/>
                            </w:rPr>
                            <w:t>)</w:t>
                          </w:r>
                        </w:p>
                      </w:txbxContent>
                    </v:textbox>
                  </v:rect>
                </w:pict>
              </mc:Fallback>
            </mc:AlternateContent>
          </w:r>
        </w:p>
        <w:p w14:paraId="536ECE10" w14:textId="77777777" w:rsidR="00D150D5" w:rsidRDefault="00D150D5" w:rsidP="00D150D5">
          <w:pPr>
            <w:jc w:val="both"/>
            <w:rPr>
              <w:color w:val="404040" w:themeColor="text1" w:themeTint="BF"/>
              <w:sz w:val="44"/>
              <w:szCs w:val="44"/>
            </w:rPr>
          </w:pPr>
        </w:p>
        <w:p w14:paraId="12AF5CB3" w14:textId="31B0DE00" w:rsidR="00D150D5" w:rsidRDefault="00D150D5" w:rsidP="00D150D5">
          <w:pPr>
            <w:jc w:val="center"/>
            <w:rPr>
              <w:color w:val="404040" w:themeColor="text1" w:themeTint="BF"/>
              <w:sz w:val="44"/>
              <w:szCs w:val="44"/>
            </w:rPr>
          </w:pPr>
        </w:p>
        <w:p w14:paraId="694173D9" w14:textId="77777777" w:rsidR="0069343C" w:rsidRDefault="0069343C" w:rsidP="00BF13A3">
          <w:pPr>
            <w:jc w:val="center"/>
            <w:rPr>
              <w:color w:val="404040" w:themeColor="text1" w:themeTint="BF"/>
              <w:sz w:val="44"/>
              <w:szCs w:val="44"/>
            </w:rPr>
          </w:pPr>
        </w:p>
        <w:p w14:paraId="1EBB7C5D" w14:textId="701A630F" w:rsidR="00D150D5" w:rsidRDefault="00D150D5" w:rsidP="00D150D5">
          <w:pPr>
            <w:jc w:val="both"/>
            <w:rPr>
              <w:color w:val="000000" w:themeColor="text1"/>
              <w:sz w:val="44"/>
              <w:szCs w:val="44"/>
            </w:rPr>
          </w:pPr>
        </w:p>
        <w:p w14:paraId="3F572904" w14:textId="77777777" w:rsidR="002C4518" w:rsidRPr="009F0D35" w:rsidRDefault="002C4518" w:rsidP="00D150D5">
          <w:pPr>
            <w:jc w:val="both"/>
            <w:rPr>
              <w:color w:val="000000" w:themeColor="text1"/>
              <w:sz w:val="44"/>
              <w:szCs w:val="44"/>
            </w:rPr>
          </w:pPr>
        </w:p>
        <w:p w14:paraId="399A8992" w14:textId="77777777" w:rsidR="007341C6" w:rsidRPr="002C4518" w:rsidRDefault="007341C6" w:rsidP="00095B7F">
          <w:pPr>
            <w:pBdr>
              <w:top w:val="single" w:sz="4" w:space="1" w:color="auto"/>
              <w:left w:val="single" w:sz="4" w:space="0" w:color="auto"/>
              <w:bottom w:val="single" w:sz="4" w:space="1" w:color="auto"/>
              <w:right w:val="single" w:sz="4" w:space="4" w:color="auto"/>
            </w:pBdr>
            <w:spacing w:before="120" w:after="120" w:line="360" w:lineRule="auto"/>
            <w:ind w:left="851" w:right="702"/>
            <w:jc w:val="center"/>
            <w:rPr>
              <w:rFonts w:ascii="Times New Roman" w:eastAsiaTheme="minorEastAsia" w:hAnsi="Times New Roman" w:cs="Times New Roman"/>
              <w:b/>
              <w:bCs/>
              <w:color w:val="000000" w:themeColor="text1"/>
              <w:sz w:val="32"/>
              <w:szCs w:val="32"/>
              <w:lang w:eastAsia="zh-CN"/>
            </w:rPr>
          </w:pPr>
          <w:r w:rsidRPr="002C4518">
            <w:rPr>
              <w:rFonts w:ascii="Times New Roman" w:eastAsiaTheme="minorEastAsia" w:hAnsi="Times New Roman" w:cs="Times New Roman"/>
              <w:b/>
              <w:bCs/>
              <w:color w:val="000000" w:themeColor="text1"/>
              <w:sz w:val="32"/>
              <w:szCs w:val="32"/>
              <w:lang w:eastAsia="zh-CN"/>
            </w:rPr>
            <w:t>Plan d’accélération de la mise en œuvre des activités du Centre d’Excellence Africain en Agriculture pour la Sécurité Alimentaire et Nutritionnelle</w:t>
          </w:r>
        </w:p>
        <w:p w14:paraId="437031AD" w14:textId="37371420" w:rsidR="001147BF" w:rsidRDefault="001147BF" w:rsidP="00D150D5">
          <w:pPr>
            <w:jc w:val="both"/>
            <w:rPr>
              <w:b/>
              <w:bCs/>
              <w:color w:val="000000" w:themeColor="text1"/>
              <w:sz w:val="40"/>
              <w:szCs w:val="40"/>
            </w:rPr>
          </w:pPr>
          <w:r>
            <w:rPr>
              <w:b/>
              <w:bCs/>
              <w:color w:val="000000" w:themeColor="text1"/>
              <w:sz w:val="40"/>
              <w:szCs w:val="40"/>
            </w:rPr>
            <w:br w:type="page"/>
          </w:r>
        </w:p>
        <w:p w14:paraId="326B225C" w14:textId="77777777" w:rsidR="00A46ADE" w:rsidRDefault="00F606AE" w:rsidP="0076766B">
          <w:r>
            <w:lastRenderedPageBreak/>
            <w:t xml:space="preserve"> </w:t>
          </w:r>
        </w:p>
        <w:sdt>
          <w:sdtPr>
            <w:rPr>
              <w:lang w:val="fr-FR"/>
            </w:rPr>
            <w:id w:val="-594633146"/>
            <w:docPartObj>
              <w:docPartGallery w:val="Table of Contents"/>
              <w:docPartUnique/>
            </w:docPartObj>
          </w:sdtPr>
          <w:sdtEndPr>
            <w:rPr>
              <w:rFonts w:asciiTheme="minorHAnsi" w:eastAsiaTheme="minorHAnsi" w:hAnsiTheme="minorHAnsi" w:cstheme="minorBidi"/>
              <w:noProof/>
              <w:color w:val="auto"/>
              <w:sz w:val="24"/>
              <w:szCs w:val="24"/>
              <w:lang w:val="fr-SN" w:eastAsia="en-US"/>
            </w:rPr>
          </w:sdtEndPr>
          <w:sdtContent>
            <w:p w14:paraId="1901DA77" w14:textId="41E21A0E" w:rsidR="00833E36" w:rsidRPr="00833E36" w:rsidRDefault="00833E36">
              <w:pPr>
                <w:pStyle w:val="En-ttedetabledesmatires"/>
              </w:pPr>
              <w:r w:rsidRPr="00833E36">
                <w:rPr>
                  <w:lang w:val="fr-FR"/>
                </w:rPr>
                <w:t>SOMMAIRE</w:t>
              </w:r>
            </w:p>
            <w:p w14:paraId="3EA97288" w14:textId="04E515F2" w:rsidR="00833E36" w:rsidRDefault="00833E36">
              <w:pPr>
                <w:pStyle w:val="TM1"/>
                <w:tabs>
                  <w:tab w:val="left" w:pos="480"/>
                  <w:tab w:val="right" w:leader="dot" w:pos="9056"/>
                </w:tabs>
                <w:rPr>
                  <w:rFonts w:eastAsiaTheme="minorEastAsia" w:cstheme="minorBidi"/>
                  <w:b w:val="0"/>
                  <w:bCs w:val="0"/>
                  <w:i w:val="0"/>
                  <w:iCs w:val="0"/>
                  <w:noProof/>
                  <w:lang w:eastAsia="fr-FR"/>
                </w:rPr>
              </w:pPr>
              <w:r>
                <w:rPr>
                  <w:b w:val="0"/>
                  <w:bCs w:val="0"/>
                </w:rPr>
                <w:fldChar w:fldCharType="begin"/>
              </w:r>
              <w:r>
                <w:instrText>TOC \o "1-3" \h \z \u</w:instrText>
              </w:r>
              <w:r>
                <w:rPr>
                  <w:b w:val="0"/>
                  <w:bCs w:val="0"/>
                </w:rPr>
                <w:fldChar w:fldCharType="separate"/>
              </w:r>
              <w:hyperlink w:anchor="_Toc103006572" w:history="1">
                <w:r w:rsidRPr="00AF790C">
                  <w:rPr>
                    <w:rStyle w:val="Lienhypertexte"/>
                    <w:noProof/>
                  </w:rPr>
                  <w:t>I.</w:t>
                </w:r>
                <w:r>
                  <w:rPr>
                    <w:rFonts w:eastAsiaTheme="minorEastAsia" w:cstheme="minorBidi"/>
                    <w:b w:val="0"/>
                    <w:bCs w:val="0"/>
                    <w:i w:val="0"/>
                    <w:iCs w:val="0"/>
                    <w:noProof/>
                    <w:lang w:eastAsia="fr-FR"/>
                  </w:rPr>
                  <w:tab/>
                </w:r>
                <w:r w:rsidRPr="00AF790C">
                  <w:rPr>
                    <w:rStyle w:val="Lienhypertexte"/>
                    <w:noProof/>
                  </w:rPr>
                  <w:t>INTRODUCTION</w:t>
                </w:r>
                <w:r>
                  <w:rPr>
                    <w:noProof/>
                    <w:webHidden/>
                  </w:rPr>
                  <w:tab/>
                </w:r>
                <w:r>
                  <w:rPr>
                    <w:noProof/>
                    <w:webHidden/>
                  </w:rPr>
                  <w:fldChar w:fldCharType="begin"/>
                </w:r>
                <w:r>
                  <w:rPr>
                    <w:noProof/>
                    <w:webHidden/>
                  </w:rPr>
                  <w:instrText xml:space="preserve"> PAGEREF _Toc103006572 \h </w:instrText>
                </w:r>
                <w:r>
                  <w:rPr>
                    <w:noProof/>
                    <w:webHidden/>
                  </w:rPr>
                </w:r>
                <w:r>
                  <w:rPr>
                    <w:noProof/>
                    <w:webHidden/>
                  </w:rPr>
                  <w:fldChar w:fldCharType="separate"/>
                </w:r>
                <w:r>
                  <w:rPr>
                    <w:noProof/>
                    <w:webHidden/>
                  </w:rPr>
                  <w:t>3</w:t>
                </w:r>
                <w:r>
                  <w:rPr>
                    <w:noProof/>
                    <w:webHidden/>
                  </w:rPr>
                  <w:fldChar w:fldCharType="end"/>
                </w:r>
              </w:hyperlink>
            </w:p>
            <w:p w14:paraId="059BA5D9" w14:textId="0708AFF0" w:rsidR="00833E36" w:rsidRDefault="00833E36">
              <w:pPr>
                <w:pStyle w:val="TM1"/>
                <w:tabs>
                  <w:tab w:val="left" w:pos="480"/>
                  <w:tab w:val="right" w:leader="dot" w:pos="9056"/>
                </w:tabs>
                <w:rPr>
                  <w:rFonts w:eastAsiaTheme="minorEastAsia" w:cstheme="minorBidi"/>
                  <w:b w:val="0"/>
                  <w:bCs w:val="0"/>
                  <w:i w:val="0"/>
                  <w:iCs w:val="0"/>
                  <w:noProof/>
                  <w:lang w:eastAsia="fr-FR"/>
                </w:rPr>
              </w:pPr>
              <w:hyperlink w:anchor="_Toc103006573" w:history="1">
                <w:r w:rsidRPr="00AF790C">
                  <w:rPr>
                    <w:rStyle w:val="Lienhypertexte"/>
                    <w:noProof/>
                  </w:rPr>
                  <w:t>II.</w:t>
                </w:r>
                <w:r>
                  <w:rPr>
                    <w:rFonts w:eastAsiaTheme="minorEastAsia" w:cstheme="minorBidi"/>
                    <w:b w:val="0"/>
                    <w:bCs w:val="0"/>
                    <w:i w:val="0"/>
                    <w:iCs w:val="0"/>
                    <w:noProof/>
                    <w:lang w:eastAsia="fr-FR"/>
                  </w:rPr>
                  <w:tab/>
                </w:r>
                <w:r w:rsidRPr="00AF790C">
                  <w:rPr>
                    <w:rStyle w:val="Lienhypertexte"/>
                    <w:noProof/>
                  </w:rPr>
                  <w:t>SITUATION DE DECAISSEMENT ET DESCRIPTIF DES POINTS D’ATTENTION ET ELEMENTS D’INTERVENTION (RLD)</w:t>
                </w:r>
                <w:r>
                  <w:rPr>
                    <w:noProof/>
                    <w:webHidden/>
                  </w:rPr>
                  <w:tab/>
                </w:r>
                <w:r>
                  <w:rPr>
                    <w:noProof/>
                    <w:webHidden/>
                  </w:rPr>
                  <w:fldChar w:fldCharType="begin"/>
                </w:r>
                <w:r>
                  <w:rPr>
                    <w:noProof/>
                    <w:webHidden/>
                  </w:rPr>
                  <w:instrText xml:space="preserve"> PAGEREF _Toc103006573 \h </w:instrText>
                </w:r>
                <w:r>
                  <w:rPr>
                    <w:noProof/>
                    <w:webHidden/>
                  </w:rPr>
                </w:r>
                <w:r>
                  <w:rPr>
                    <w:noProof/>
                    <w:webHidden/>
                  </w:rPr>
                  <w:fldChar w:fldCharType="separate"/>
                </w:r>
                <w:r>
                  <w:rPr>
                    <w:noProof/>
                    <w:webHidden/>
                  </w:rPr>
                  <w:t>3</w:t>
                </w:r>
                <w:r>
                  <w:rPr>
                    <w:noProof/>
                    <w:webHidden/>
                  </w:rPr>
                  <w:fldChar w:fldCharType="end"/>
                </w:r>
              </w:hyperlink>
            </w:p>
            <w:p w14:paraId="3F363286" w14:textId="293B14EA" w:rsidR="00833E36" w:rsidRDefault="00833E36">
              <w:pPr>
                <w:pStyle w:val="TM1"/>
                <w:tabs>
                  <w:tab w:val="left" w:pos="720"/>
                  <w:tab w:val="right" w:leader="dot" w:pos="9056"/>
                </w:tabs>
                <w:rPr>
                  <w:rFonts w:eastAsiaTheme="minorEastAsia" w:cstheme="minorBidi"/>
                  <w:b w:val="0"/>
                  <w:bCs w:val="0"/>
                  <w:i w:val="0"/>
                  <w:iCs w:val="0"/>
                  <w:noProof/>
                  <w:lang w:eastAsia="fr-FR"/>
                </w:rPr>
              </w:pPr>
              <w:hyperlink w:anchor="_Toc103006574" w:history="1">
                <w:r w:rsidRPr="00AF790C">
                  <w:rPr>
                    <w:rStyle w:val="Lienhypertexte"/>
                    <w:noProof/>
                  </w:rPr>
                  <w:t>III.</w:t>
                </w:r>
                <w:r>
                  <w:rPr>
                    <w:rFonts w:eastAsiaTheme="minorEastAsia" w:cstheme="minorBidi"/>
                    <w:b w:val="0"/>
                    <w:bCs w:val="0"/>
                    <w:i w:val="0"/>
                    <w:iCs w:val="0"/>
                    <w:noProof/>
                    <w:lang w:eastAsia="fr-FR"/>
                  </w:rPr>
                  <w:tab/>
                </w:r>
                <w:r w:rsidRPr="00AF790C">
                  <w:rPr>
                    <w:rStyle w:val="Lienhypertexte"/>
                    <w:noProof/>
                  </w:rPr>
                  <w:t>LES ENGAGEMENTS</w:t>
                </w:r>
                <w:r>
                  <w:rPr>
                    <w:noProof/>
                    <w:webHidden/>
                  </w:rPr>
                  <w:tab/>
                </w:r>
                <w:r>
                  <w:rPr>
                    <w:noProof/>
                    <w:webHidden/>
                  </w:rPr>
                  <w:fldChar w:fldCharType="begin"/>
                </w:r>
                <w:r>
                  <w:rPr>
                    <w:noProof/>
                    <w:webHidden/>
                  </w:rPr>
                  <w:instrText xml:space="preserve"> PAGEREF _Toc103006574 \h </w:instrText>
                </w:r>
                <w:r>
                  <w:rPr>
                    <w:noProof/>
                    <w:webHidden/>
                  </w:rPr>
                </w:r>
                <w:r>
                  <w:rPr>
                    <w:noProof/>
                    <w:webHidden/>
                  </w:rPr>
                  <w:fldChar w:fldCharType="separate"/>
                </w:r>
                <w:r>
                  <w:rPr>
                    <w:noProof/>
                    <w:webHidden/>
                  </w:rPr>
                  <w:t>3</w:t>
                </w:r>
                <w:r>
                  <w:rPr>
                    <w:noProof/>
                    <w:webHidden/>
                  </w:rPr>
                  <w:fldChar w:fldCharType="end"/>
                </w:r>
              </w:hyperlink>
            </w:p>
            <w:p w14:paraId="1D3D1D77" w14:textId="76A208CF" w:rsidR="00833E36" w:rsidRDefault="00833E36">
              <w:pPr>
                <w:pStyle w:val="TM1"/>
                <w:tabs>
                  <w:tab w:val="left" w:pos="720"/>
                  <w:tab w:val="right" w:leader="dot" w:pos="9056"/>
                </w:tabs>
                <w:rPr>
                  <w:rFonts w:eastAsiaTheme="minorEastAsia" w:cstheme="minorBidi"/>
                  <w:b w:val="0"/>
                  <w:bCs w:val="0"/>
                  <w:i w:val="0"/>
                  <w:iCs w:val="0"/>
                  <w:noProof/>
                  <w:lang w:eastAsia="fr-FR"/>
                </w:rPr>
              </w:pPr>
              <w:hyperlink w:anchor="_Toc103006575" w:history="1">
                <w:r w:rsidRPr="00AF790C">
                  <w:rPr>
                    <w:rStyle w:val="Lienhypertexte"/>
                    <w:noProof/>
                  </w:rPr>
                  <w:t>IV.</w:t>
                </w:r>
                <w:r>
                  <w:rPr>
                    <w:rFonts w:eastAsiaTheme="minorEastAsia" w:cstheme="minorBidi"/>
                    <w:b w:val="0"/>
                    <w:bCs w:val="0"/>
                    <w:i w:val="0"/>
                    <w:iCs w:val="0"/>
                    <w:noProof/>
                    <w:lang w:eastAsia="fr-FR"/>
                  </w:rPr>
                  <w:tab/>
                </w:r>
                <w:r w:rsidRPr="00AF790C">
                  <w:rPr>
                    <w:rStyle w:val="Lienhypertexte"/>
                    <w:noProof/>
                  </w:rPr>
                  <w:t>PLANS D’ACCÉLÉRATION DES ACTIVITÉS DE DÉCAISSEMENT (ILD) ET DES DÉPENSES</w:t>
                </w:r>
                <w:r>
                  <w:rPr>
                    <w:noProof/>
                    <w:webHidden/>
                  </w:rPr>
                  <w:tab/>
                </w:r>
                <w:r>
                  <w:rPr>
                    <w:noProof/>
                    <w:webHidden/>
                  </w:rPr>
                  <w:fldChar w:fldCharType="begin"/>
                </w:r>
                <w:r>
                  <w:rPr>
                    <w:noProof/>
                    <w:webHidden/>
                  </w:rPr>
                  <w:instrText xml:space="preserve"> PAGEREF _Toc103006575 \h </w:instrText>
                </w:r>
                <w:r>
                  <w:rPr>
                    <w:noProof/>
                    <w:webHidden/>
                  </w:rPr>
                </w:r>
                <w:r>
                  <w:rPr>
                    <w:noProof/>
                    <w:webHidden/>
                  </w:rPr>
                  <w:fldChar w:fldCharType="separate"/>
                </w:r>
                <w:r>
                  <w:rPr>
                    <w:noProof/>
                    <w:webHidden/>
                  </w:rPr>
                  <w:t>4</w:t>
                </w:r>
                <w:r>
                  <w:rPr>
                    <w:noProof/>
                    <w:webHidden/>
                  </w:rPr>
                  <w:fldChar w:fldCharType="end"/>
                </w:r>
              </w:hyperlink>
            </w:p>
            <w:p w14:paraId="4CA02F74" w14:textId="58CC0096" w:rsidR="00833E36" w:rsidRDefault="00833E36">
              <w:pPr>
                <w:pStyle w:val="TM1"/>
                <w:tabs>
                  <w:tab w:val="left" w:pos="480"/>
                  <w:tab w:val="right" w:leader="dot" w:pos="9056"/>
                </w:tabs>
                <w:rPr>
                  <w:rFonts w:eastAsiaTheme="minorEastAsia" w:cstheme="minorBidi"/>
                  <w:b w:val="0"/>
                  <w:bCs w:val="0"/>
                  <w:i w:val="0"/>
                  <w:iCs w:val="0"/>
                  <w:noProof/>
                  <w:lang w:eastAsia="fr-FR"/>
                </w:rPr>
              </w:pPr>
              <w:hyperlink w:anchor="_Toc103006576" w:history="1">
                <w:r w:rsidRPr="00AF790C">
                  <w:rPr>
                    <w:rStyle w:val="Lienhypertexte"/>
                    <w:noProof/>
                  </w:rPr>
                  <w:t>V.</w:t>
                </w:r>
                <w:r>
                  <w:rPr>
                    <w:rFonts w:eastAsiaTheme="minorEastAsia" w:cstheme="minorBidi"/>
                    <w:b w:val="0"/>
                    <w:bCs w:val="0"/>
                    <w:i w:val="0"/>
                    <w:iCs w:val="0"/>
                    <w:noProof/>
                    <w:lang w:eastAsia="fr-FR"/>
                  </w:rPr>
                  <w:tab/>
                </w:r>
                <w:r w:rsidRPr="00AF790C">
                  <w:rPr>
                    <w:rStyle w:val="Lienhypertexte"/>
                    <w:noProof/>
                  </w:rPr>
                  <w:t>ACCOMPAGNEMENT DU PLAN D’ACCELERATION</w:t>
                </w:r>
                <w:r>
                  <w:rPr>
                    <w:noProof/>
                    <w:webHidden/>
                  </w:rPr>
                  <w:tab/>
                </w:r>
                <w:r>
                  <w:rPr>
                    <w:noProof/>
                    <w:webHidden/>
                  </w:rPr>
                  <w:fldChar w:fldCharType="begin"/>
                </w:r>
                <w:r>
                  <w:rPr>
                    <w:noProof/>
                    <w:webHidden/>
                  </w:rPr>
                  <w:instrText xml:space="preserve"> PAGEREF _Toc103006576 \h </w:instrText>
                </w:r>
                <w:r>
                  <w:rPr>
                    <w:noProof/>
                    <w:webHidden/>
                  </w:rPr>
                </w:r>
                <w:r>
                  <w:rPr>
                    <w:noProof/>
                    <w:webHidden/>
                  </w:rPr>
                  <w:fldChar w:fldCharType="separate"/>
                </w:r>
                <w:r>
                  <w:rPr>
                    <w:noProof/>
                    <w:webHidden/>
                  </w:rPr>
                  <w:t>17</w:t>
                </w:r>
                <w:r>
                  <w:rPr>
                    <w:noProof/>
                    <w:webHidden/>
                  </w:rPr>
                  <w:fldChar w:fldCharType="end"/>
                </w:r>
              </w:hyperlink>
            </w:p>
            <w:p w14:paraId="38494B16" w14:textId="244577C2" w:rsidR="00833E36" w:rsidRDefault="00833E36">
              <w:pPr>
                <w:pStyle w:val="TM1"/>
                <w:tabs>
                  <w:tab w:val="left" w:pos="720"/>
                  <w:tab w:val="right" w:leader="dot" w:pos="9056"/>
                </w:tabs>
                <w:rPr>
                  <w:rFonts w:eastAsiaTheme="minorEastAsia" w:cstheme="minorBidi"/>
                  <w:b w:val="0"/>
                  <w:bCs w:val="0"/>
                  <w:i w:val="0"/>
                  <w:iCs w:val="0"/>
                  <w:noProof/>
                  <w:lang w:eastAsia="fr-FR"/>
                </w:rPr>
              </w:pPr>
              <w:hyperlink w:anchor="_Toc103006577" w:history="1">
                <w:r w:rsidRPr="00AF790C">
                  <w:rPr>
                    <w:rStyle w:val="Lienhypertexte"/>
                    <w:noProof/>
                  </w:rPr>
                  <w:t>VI.</w:t>
                </w:r>
                <w:r>
                  <w:rPr>
                    <w:rFonts w:eastAsiaTheme="minorEastAsia" w:cstheme="minorBidi"/>
                    <w:b w:val="0"/>
                    <w:bCs w:val="0"/>
                    <w:i w:val="0"/>
                    <w:iCs w:val="0"/>
                    <w:noProof/>
                    <w:lang w:eastAsia="fr-FR"/>
                  </w:rPr>
                  <w:tab/>
                </w:r>
                <w:r w:rsidRPr="00AF790C">
                  <w:rPr>
                    <w:rStyle w:val="Lienhypertexte"/>
                    <w:noProof/>
                  </w:rPr>
                  <w:t>CONCLUSION</w:t>
                </w:r>
                <w:r>
                  <w:rPr>
                    <w:noProof/>
                    <w:webHidden/>
                  </w:rPr>
                  <w:tab/>
                </w:r>
                <w:r>
                  <w:rPr>
                    <w:noProof/>
                    <w:webHidden/>
                  </w:rPr>
                  <w:fldChar w:fldCharType="begin"/>
                </w:r>
                <w:r>
                  <w:rPr>
                    <w:noProof/>
                    <w:webHidden/>
                  </w:rPr>
                  <w:instrText xml:space="preserve"> PAGEREF _Toc103006577 \h </w:instrText>
                </w:r>
                <w:r>
                  <w:rPr>
                    <w:noProof/>
                    <w:webHidden/>
                  </w:rPr>
                </w:r>
                <w:r>
                  <w:rPr>
                    <w:noProof/>
                    <w:webHidden/>
                  </w:rPr>
                  <w:fldChar w:fldCharType="separate"/>
                </w:r>
                <w:r>
                  <w:rPr>
                    <w:noProof/>
                    <w:webHidden/>
                  </w:rPr>
                  <w:t>17</w:t>
                </w:r>
                <w:r>
                  <w:rPr>
                    <w:noProof/>
                    <w:webHidden/>
                  </w:rPr>
                  <w:fldChar w:fldCharType="end"/>
                </w:r>
              </w:hyperlink>
            </w:p>
            <w:p w14:paraId="6ED24B94" w14:textId="1C98B4CE" w:rsidR="00833E36" w:rsidRDefault="00833E36">
              <w:pPr>
                <w:pStyle w:val="TM1"/>
                <w:tabs>
                  <w:tab w:val="right" w:leader="dot" w:pos="9056"/>
                </w:tabs>
                <w:rPr>
                  <w:rFonts w:eastAsiaTheme="minorEastAsia" w:cstheme="minorBidi"/>
                  <w:b w:val="0"/>
                  <w:bCs w:val="0"/>
                  <w:i w:val="0"/>
                  <w:iCs w:val="0"/>
                  <w:noProof/>
                  <w:lang w:eastAsia="fr-FR"/>
                </w:rPr>
              </w:pPr>
              <w:hyperlink w:anchor="_Toc103006578" w:history="1">
                <w:r w:rsidRPr="00AF790C">
                  <w:rPr>
                    <w:rStyle w:val="Lienhypertexte"/>
                    <w:noProof/>
                  </w:rPr>
                  <w:t>DOCUMENTS ANNEXES</w:t>
                </w:r>
                <w:r>
                  <w:rPr>
                    <w:noProof/>
                    <w:webHidden/>
                  </w:rPr>
                  <w:tab/>
                </w:r>
                <w:r>
                  <w:rPr>
                    <w:noProof/>
                    <w:webHidden/>
                  </w:rPr>
                  <w:fldChar w:fldCharType="begin"/>
                </w:r>
                <w:r>
                  <w:rPr>
                    <w:noProof/>
                    <w:webHidden/>
                  </w:rPr>
                  <w:instrText xml:space="preserve"> PAGEREF _Toc103006578 \h </w:instrText>
                </w:r>
                <w:r>
                  <w:rPr>
                    <w:noProof/>
                    <w:webHidden/>
                  </w:rPr>
                </w:r>
                <w:r>
                  <w:rPr>
                    <w:noProof/>
                    <w:webHidden/>
                  </w:rPr>
                  <w:fldChar w:fldCharType="separate"/>
                </w:r>
                <w:r>
                  <w:rPr>
                    <w:noProof/>
                    <w:webHidden/>
                  </w:rPr>
                  <w:t>19</w:t>
                </w:r>
                <w:r>
                  <w:rPr>
                    <w:noProof/>
                    <w:webHidden/>
                  </w:rPr>
                  <w:fldChar w:fldCharType="end"/>
                </w:r>
              </w:hyperlink>
            </w:p>
            <w:p w14:paraId="14AA5CA3" w14:textId="3768C835" w:rsidR="00833E36" w:rsidRDefault="00833E36">
              <w:pPr>
                <w:pStyle w:val="TM2"/>
                <w:tabs>
                  <w:tab w:val="right" w:leader="dot" w:pos="9056"/>
                </w:tabs>
                <w:rPr>
                  <w:rFonts w:eastAsiaTheme="minorEastAsia" w:cstheme="minorBidi"/>
                  <w:b w:val="0"/>
                  <w:bCs w:val="0"/>
                  <w:noProof/>
                  <w:sz w:val="24"/>
                  <w:szCs w:val="24"/>
                  <w:lang w:eastAsia="fr-FR"/>
                </w:rPr>
              </w:pPr>
              <w:hyperlink w:anchor="_Toc103006579" w:history="1">
                <w:r w:rsidRPr="00AF790C">
                  <w:rPr>
                    <w:rStyle w:val="Lienhypertexte"/>
                    <w:noProof/>
                  </w:rPr>
                  <w:t>Annexe 1 : Etat d’exécution des Marchés de fournitures et de travaux / DLI 4.3</w:t>
                </w:r>
                <w:r>
                  <w:rPr>
                    <w:noProof/>
                    <w:webHidden/>
                  </w:rPr>
                  <w:tab/>
                </w:r>
                <w:r>
                  <w:rPr>
                    <w:noProof/>
                    <w:webHidden/>
                  </w:rPr>
                  <w:fldChar w:fldCharType="begin"/>
                </w:r>
                <w:r>
                  <w:rPr>
                    <w:noProof/>
                    <w:webHidden/>
                  </w:rPr>
                  <w:instrText xml:space="preserve"> PAGEREF _Toc103006579 \h </w:instrText>
                </w:r>
                <w:r>
                  <w:rPr>
                    <w:noProof/>
                    <w:webHidden/>
                  </w:rPr>
                </w:r>
                <w:r>
                  <w:rPr>
                    <w:noProof/>
                    <w:webHidden/>
                  </w:rPr>
                  <w:fldChar w:fldCharType="separate"/>
                </w:r>
                <w:r>
                  <w:rPr>
                    <w:noProof/>
                    <w:webHidden/>
                  </w:rPr>
                  <w:t>19</w:t>
                </w:r>
                <w:r>
                  <w:rPr>
                    <w:noProof/>
                    <w:webHidden/>
                  </w:rPr>
                  <w:fldChar w:fldCharType="end"/>
                </w:r>
              </w:hyperlink>
            </w:p>
            <w:p w14:paraId="66B09408" w14:textId="7C52CBA6" w:rsidR="00833E36" w:rsidRDefault="00833E36">
              <w:pPr>
                <w:pStyle w:val="TM2"/>
                <w:tabs>
                  <w:tab w:val="right" w:leader="dot" w:pos="9056"/>
                </w:tabs>
                <w:rPr>
                  <w:rFonts w:eastAsiaTheme="minorEastAsia" w:cstheme="minorBidi"/>
                  <w:b w:val="0"/>
                  <w:bCs w:val="0"/>
                  <w:noProof/>
                  <w:sz w:val="24"/>
                  <w:szCs w:val="24"/>
                  <w:lang w:eastAsia="fr-FR"/>
                </w:rPr>
              </w:pPr>
              <w:hyperlink w:anchor="_Toc103006580" w:history="1">
                <w:r w:rsidRPr="00AF790C">
                  <w:rPr>
                    <w:rStyle w:val="Lienhypertexte"/>
                    <w:noProof/>
                  </w:rPr>
                  <w:t>Annee 2 : Impact institutionnel :DLI 7</w:t>
                </w:r>
                <w:r>
                  <w:rPr>
                    <w:noProof/>
                    <w:webHidden/>
                  </w:rPr>
                  <w:tab/>
                </w:r>
                <w:r>
                  <w:rPr>
                    <w:noProof/>
                    <w:webHidden/>
                  </w:rPr>
                  <w:fldChar w:fldCharType="begin"/>
                </w:r>
                <w:r>
                  <w:rPr>
                    <w:noProof/>
                    <w:webHidden/>
                  </w:rPr>
                  <w:instrText xml:space="preserve"> PAGEREF _Toc103006580 \h </w:instrText>
                </w:r>
                <w:r>
                  <w:rPr>
                    <w:noProof/>
                    <w:webHidden/>
                  </w:rPr>
                </w:r>
                <w:r>
                  <w:rPr>
                    <w:noProof/>
                    <w:webHidden/>
                  </w:rPr>
                  <w:fldChar w:fldCharType="separate"/>
                </w:r>
                <w:r>
                  <w:rPr>
                    <w:noProof/>
                    <w:webHidden/>
                  </w:rPr>
                  <w:t>20</w:t>
                </w:r>
                <w:r>
                  <w:rPr>
                    <w:noProof/>
                    <w:webHidden/>
                  </w:rPr>
                  <w:fldChar w:fldCharType="end"/>
                </w:r>
              </w:hyperlink>
            </w:p>
            <w:p w14:paraId="7726BE4D" w14:textId="0F5B9A44" w:rsidR="00833E36" w:rsidRDefault="00833E36">
              <w:r>
                <w:rPr>
                  <w:b/>
                  <w:bCs/>
                  <w:noProof/>
                </w:rPr>
                <w:fldChar w:fldCharType="end"/>
              </w:r>
            </w:p>
          </w:sdtContent>
        </w:sdt>
        <w:p w14:paraId="570BE9FD" w14:textId="184F39DA" w:rsidR="007341C6" w:rsidRDefault="007341C6" w:rsidP="0076766B"/>
        <w:p w14:paraId="09B9E740" w14:textId="38DD5CEA" w:rsidR="0076766B" w:rsidRDefault="0076766B" w:rsidP="0076766B">
          <w:pPr>
            <w:pBdr>
              <w:bottom w:val="single" w:sz="6" w:space="1" w:color="auto"/>
            </w:pBdr>
          </w:pPr>
        </w:p>
        <w:p w14:paraId="3090CEDD" w14:textId="14E2C7B2" w:rsidR="0076766B" w:rsidRDefault="0076766B" w:rsidP="0076766B">
          <w:pPr>
            <w:pBdr>
              <w:bottom w:val="single" w:sz="6" w:space="1" w:color="auto"/>
            </w:pBdr>
          </w:pPr>
        </w:p>
        <w:p w14:paraId="75645F40" w14:textId="77777777" w:rsidR="00964C1B" w:rsidRDefault="00964C1B" w:rsidP="0076766B">
          <w:pPr>
            <w:pBdr>
              <w:bottom w:val="single" w:sz="6" w:space="1" w:color="auto"/>
            </w:pBdr>
          </w:pPr>
        </w:p>
        <w:p w14:paraId="7E34A16D" w14:textId="190220A6" w:rsidR="0076766B" w:rsidRDefault="0076766B" w:rsidP="0076766B"/>
        <w:p w14:paraId="556C7245" w14:textId="7687C5A4" w:rsidR="0076766B" w:rsidRPr="009F0D35" w:rsidRDefault="0076766B" w:rsidP="0076766B"/>
        <w:p w14:paraId="6134BC3B" w14:textId="77777777" w:rsidR="00696EA7" w:rsidRDefault="00696EA7">
          <w:pPr>
            <w:rPr>
              <w:rFonts w:ascii="Times New Roman" w:eastAsiaTheme="minorEastAsia" w:hAnsi="Times New Roman" w:cs="Times New Roman"/>
              <w:b/>
              <w:bCs/>
              <w:color w:val="000000" w:themeColor="text1"/>
              <w:u w:val="single"/>
              <w:lang w:eastAsia="zh-CN"/>
            </w:rPr>
          </w:pPr>
          <w:r>
            <w:rPr>
              <w:rFonts w:ascii="Times New Roman" w:eastAsiaTheme="minorEastAsia" w:hAnsi="Times New Roman" w:cs="Times New Roman"/>
              <w:b/>
              <w:bCs/>
              <w:color w:val="000000" w:themeColor="text1"/>
              <w:u w:val="single"/>
              <w:lang w:eastAsia="zh-CN"/>
            </w:rPr>
            <w:br w:type="page"/>
          </w:r>
        </w:p>
        <w:p w14:paraId="13AD78F8" w14:textId="5F191B2F" w:rsidR="00D150D5" w:rsidRPr="002C4518" w:rsidRDefault="00D150D5" w:rsidP="00D150D5">
          <w:pPr>
            <w:jc w:val="both"/>
            <w:rPr>
              <w:b/>
              <w:bCs/>
              <w:color w:val="000000" w:themeColor="text1"/>
              <w:sz w:val="36"/>
              <w:szCs w:val="36"/>
              <w:u w:val="single"/>
            </w:rPr>
          </w:pPr>
          <w:r w:rsidRPr="002C4518">
            <w:rPr>
              <w:rFonts w:ascii="Times New Roman" w:eastAsiaTheme="minorEastAsia" w:hAnsi="Times New Roman" w:cs="Times New Roman"/>
              <w:b/>
              <w:bCs/>
              <w:color w:val="000000" w:themeColor="text1"/>
              <w:u w:val="single"/>
              <w:lang w:eastAsia="zh-CN"/>
            </w:rPr>
            <w:lastRenderedPageBreak/>
            <w:t>Résumé</w:t>
          </w:r>
        </w:p>
        <w:p w14:paraId="6474374B" w14:textId="05BA7AB8" w:rsidR="00022567" w:rsidRPr="009F0D35" w:rsidRDefault="00F252A8" w:rsidP="00BF13A3">
          <w:pPr>
            <w:pStyle w:val="Sansinterligne"/>
            <w:spacing w:line="276" w:lineRule="auto"/>
            <w:jc w:val="both"/>
            <w:rPr>
              <w:rFonts w:ascii="Times New Roman" w:hAnsi="Times New Roman" w:cs="Times New Roman"/>
              <w:color w:val="000000" w:themeColor="text1"/>
              <w:sz w:val="24"/>
              <w:szCs w:val="24"/>
              <w:lang w:val="fr-SN"/>
            </w:rPr>
          </w:pPr>
          <w:r w:rsidRPr="009F0D35">
            <w:rPr>
              <w:rFonts w:ascii="Times New Roman" w:hAnsi="Times New Roman" w:cs="Times New Roman"/>
              <w:color w:val="000000" w:themeColor="text1"/>
              <w:sz w:val="24"/>
              <w:szCs w:val="24"/>
              <w:lang w:val="fr-SN"/>
            </w:rPr>
            <w:t>Suite au</w:t>
          </w:r>
          <w:r w:rsidR="00616751" w:rsidRPr="009F0D35">
            <w:rPr>
              <w:rFonts w:ascii="Times New Roman" w:hAnsi="Times New Roman" w:cs="Times New Roman"/>
              <w:color w:val="000000" w:themeColor="text1"/>
              <w:sz w:val="24"/>
              <w:szCs w:val="24"/>
              <w:lang w:val="fr-SN"/>
            </w:rPr>
            <w:t>x</w:t>
          </w:r>
          <w:r w:rsidRPr="009F0D35">
            <w:rPr>
              <w:rFonts w:ascii="Times New Roman" w:hAnsi="Times New Roman" w:cs="Times New Roman"/>
              <w:color w:val="000000" w:themeColor="text1"/>
              <w:sz w:val="24"/>
              <w:szCs w:val="24"/>
              <w:lang w:val="fr-SN"/>
            </w:rPr>
            <w:t xml:space="preserve"> résultats constaté</w:t>
          </w:r>
          <w:r w:rsidR="00616751" w:rsidRPr="009F0D35">
            <w:rPr>
              <w:rFonts w:ascii="Times New Roman" w:hAnsi="Times New Roman" w:cs="Times New Roman"/>
              <w:color w:val="000000" w:themeColor="text1"/>
              <w:sz w:val="24"/>
              <w:szCs w:val="24"/>
              <w:lang w:val="fr-SN"/>
            </w:rPr>
            <w:t>s</w:t>
          </w:r>
          <w:r w:rsidRPr="009F0D35">
            <w:rPr>
              <w:rFonts w:ascii="Times New Roman" w:hAnsi="Times New Roman" w:cs="Times New Roman"/>
              <w:color w:val="000000" w:themeColor="text1"/>
              <w:sz w:val="24"/>
              <w:szCs w:val="24"/>
              <w:lang w:val="fr-SN"/>
            </w:rPr>
            <w:t xml:space="preserve"> sur le faible niveau d’atteinte des indicateurs liés au décaissement et </w:t>
          </w:r>
          <w:r w:rsidR="00616751" w:rsidRPr="009F0D35">
            <w:rPr>
              <w:rFonts w:ascii="Times New Roman" w:hAnsi="Times New Roman" w:cs="Times New Roman"/>
              <w:color w:val="000000" w:themeColor="text1"/>
              <w:sz w:val="24"/>
              <w:szCs w:val="24"/>
              <w:lang w:val="fr-SN"/>
            </w:rPr>
            <w:t xml:space="preserve">au </w:t>
          </w:r>
          <w:r w:rsidRPr="009F0D35">
            <w:rPr>
              <w:rFonts w:ascii="Times New Roman" w:hAnsi="Times New Roman" w:cs="Times New Roman"/>
              <w:color w:val="000000" w:themeColor="text1"/>
              <w:sz w:val="24"/>
              <w:szCs w:val="24"/>
              <w:lang w:val="fr-SN"/>
            </w:rPr>
            <w:t>faible niveau des dépense</w:t>
          </w:r>
          <w:r w:rsidR="00616751" w:rsidRPr="009F0D35">
            <w:rPr>
              <w:rFonts w:ascii="Times New Roman" w:hAnsi="Times New Roman" w:cs="Times New Roman"/>
              <w:color w:val="000000" w:themeColor="text1"/>
              <w:sz w:val="24"/>
              <w:szCs w:val="24"/>
              <w:lang w:val="fr-SN"/>
            </w:rPr>
            <w:t>s pour la mise en œuvre de ses activités</w:t>
          </w:r>
          <w:r w:rsidRPr="009F0D35">
            <w:rPr>
              <w:rFonts w:ascii="Times New Roman" w:hAnsi="Times New Roman" w:cs="Times New Roman"/>
              <w:color w:val="000000" w:themeColor="text1"/>
              <w:sz w:val="24"/>
              <w:szCs w:val="24"/>
              <w:lang w:val="fr-SN"/>
            </w:rPr>
            <w:t>, c</w:t>
          </w:r>
          <w:r w:rsidR="00022567" w:rsidRPr="009F0D35">
            <w:rPr>
              <w:rFonts w:ascii="Times New Roman" w:hAnsi="Times New Roman" w:cs="Times New Roman"/>
              <w:color w:val="000000" w:themeColor="text1"/>
              <w:sz w:val="24"/>
              <w:szCs w:val="24"/>
              <w:lang w:val="fr-SN"/>
            </w:rPr>
            <w:t xml:space="preserve">e document reprend le plan de mise en œuvre du CEA-AGRISAN en intégrant les points </w:t>
          </w:r>
          <w:r w:rsidR="00616751" w:rsidRPr="009F0D35">
            <w:rPr>
              <w:rFonts w:ascii="Times New Roman" w:hAnsi="Times New Roman" w:cs="Times New Roman"/>
              <w:color w:val="000000" w:themeColor="text1"/>
              <w:sz w:val="24"/>
              <w:szCs w:val="24"/>
              <w:lang w:val="fr-SN"/>
            </w:rPr>
            <w:t xml:space="preserve">de blocage et les mesures </w:t>
          </w:r>
          <w:r w:rsidR="00022567" w:rsidRPr="009F0D35">
            <w:rPr>
              <w:rFonts w:ascii="Times New Roman" w:hAnsi="Times New Roman" w:cs="Times New Roman"/>
              <w:color w:val="000000" w:themeColor="text1"/>
              <w:sz w:val="24"/>
              <w:szCs w:val="24"/>
              <w:lang w:val="fr-SN"/>
            </w:rPr>
            <w:t xml:space="preserve">d’accélération. </w:t>
          </w:r>
          <w:r w:rsidR="00616751" w:rsidRPr="009F0D35">
            <w:rPr>
              <w:rFonts w:ascii="Times New Roman" w:hAnsi="Times New Roman" w:cs="Times New Roman"/>
              <w:color w:val="000000" w:themeColor="text1"/>
              <w:sz w:val="24"/>
              <w:szCs w:val="24"/>
              <w:lang w:val="fr-SN"/>
            </w:rPr>
            <w:t>Ces considérations sont prises activité par activité et concernent les réalisations et les dépenses</w:t>
          </w:r>
          <w:r w:rsidR="00523C92" w:rsidRPr="009F0D35">
            <w:rPr>
              <w:rFonts w:ascii="Times New Roman" w:hAnsi="Times New Roman" w:cs="Times New Roman"/>
              <w:color w:val="000000" w:themeColor="text1"/>
              <w:sz w:val="24"/>
              <w:szCs w:val="24"/>
              <w:lang w:val="fr-SN"/>
            </w:rPr>
            <w:t xml:space="preserve">. </w:t>
          </w:r>
          <w:r w:rsidR="00022567" w:rsidRPr="009F0D35">
            <w:rPr>
              <w:rFonts w:ascii="Times New Roman" w:hAnsi="Times New Roman" w:cs="Times New Roman"/>
              <w:color w:val="000000" w:themeColor="text1"/>
              <w:sz w:val="24"/>
              <w:szCs w:val="24"/>
              <w:lang w:val="fr-SN"/>
            </w:rPr>
            <w:t xml:space="preserve">Il comporte trois parties complémentaires : le narratif, le tableau détaillé </w:t>
          </w:r>
          <w:r w:rsidR="00523C92" w:rsidRPr="009F0D35">
            <w:rPr>
              <w:rFonts w:ascii="Times New Roman" w:hAnsi="Times New Roman" w:cs="Times New Roman"/>
              <w:color w:val="000000" w:themeColor="text1"/>
              <w:sz w:val="24"/>
              <w:szCs w:val="24"/>
              <w:lang w:val="fr-SN"/>
            </w:rPr>
            <w:t xml:space="preserve">des activités et </w:t>
          </w:r>
          <w:r w:rsidR="00022567" w:rsidRPr="009F0D35">
            <w:rPr>
              <w:rFonts w:ascii="Times New Roman" w:hAnsi="Times New Roman" w:cs="Times New Roman"/>
              <w:color w:val="000000" w:themeColor="text1"/>
              <w:sz w:val="24"/>
              <w:szCs w:val="24"/>
              <w:lang w:val="fr-SN"/>
            </w:rPr>
            <w:t>des interventions pour l’atteinte des DLI et le tableau détaillé pour les dépenses et engagements.</w:t>
          </w:r>
          <w:r w:rsidRPr="009F0D35">
            <w:rPr>
              <w:rFonts w:ascii="Times New Roman" w:hAnsi="Times New Roman" w:cs="Times New Roman"/>
              <w:color w:val="000000" w:themeColor="text1"/>
              <w:sz w:val="24"/>
              <w:szCs w:val="24"/>
              <w:lang w:val="fr-SN"/>
            </w:rPr>
            <w:t xml:space="preserve"> Il est conçu pour servir de feuille de route dans l’exécution des activités</w:t>
          </w:r>
          <w:r w:rsidR="00523C92" w:rsidRPr="009F0D35">
            <w:rPr>
              <w:rFonts w:ascii="Times New Roman" w:hAnsi="Times New Roman" w:cs="Times New Roman"/>
              <w:color w:val="000000" w:themeColor="text1"/>
              <w:sz w:val="24"/>
              <w:szCs w:val="24"/>
              <w:lang w:val="fr-SN"/>
            </w:rPr>
            <w:t>.</w:t>
          </w:r>
        </w:p>
        <w:p w14:paraId="3322ADA7" w14:textId="62823A58" w:rsidR="00D150D5" w:rsidRDefault="00D150D5">
          <w:pPr>
            <w:rPr>
              <w:rFonts w:ascii="Times New Roman" w:hAnsi="Times New Roman" w:cs="Times New Roman"/>
              <w:b/>
              <w:bCs/>
            </w:rPr>
          </w:pPr>
        </w:p>
        <w:p w14:paraId="47C3E521" w14:textId="25915FB0" w:rsidR="00D946D0" w:rsidRDefault="00D150D5">
          <w:pPr>
            <w:rPr>
              <w:rFonts w:ascii="Times New Roman" w:hAnsi="Times New Roman" w:cs="Times New Roman"/>
              <w:b/>
              <w:bCs/>
            </w:rPr>
          </w:pPr>
          <w:r>
            <w:rPr>
              <w:rFonts w:ascii="Times New Roman" w:hAnsi="Times New Roman" w:cs="Times New Roman"/>
              <w:b/>
              <w:bCs/>
            </w:rPr>
            <w:br w:type="page"/>
          </w:r>
        </w:p>
      </w:sdtContent>
    </w:sdt>
    <w:p w14:paraId="71D38D4F" w14:textId="6FC0C845" w:rsidR="002B5E84" w:rsidRPr="00007DB4" w:rsidRDefault="00537FB3" w:rsidP="00007DB4">
      <w:pPr>
        <w:pStyle w:val="Titre1"/>
        <w:numPr>
          <w:ilvl w:val="0"/>
          <w:numId w:val="8"/>
        </w:numPr>
        <w:ind w:left="426" w:hanging="371"/>
        <w:rPr>
          <w:rFonts w:asciiTheme="minorHAnsi" w:hAnsiTheme="minorHAnsi" w:cstheme="minorHAnsi"/>
          <w:b/>
          <w:bCs/>
          <w:color w:val="000000" w:themeColor="text1"/>
          <w:sz w:val="24"/>
          <w:szCs w:val="24"/>
        </w:rPr>
      </w:pPr>
      <w:bookmarkStart w:id="0" w:name="_Toc102897388"/>
      <w:bookmarkStart w:id="1" w:name="_Toc102897603"/>
      <w:bookmarkStart w:id="2" w:name="_Toc102897664"/>
      <w:bookmarkStart w:id="3" w:name="_Toc102897742"/>
      <w:bookmarkStart w:id="4" w:name="_Toc102898054"/>
      <w:bookmarkStart w:id="5" w:name="_Toc102898103"/>
      <w:bookmarkStart w:id="6" w:name="_Toc102898160"/>
      <w:bookmarkStart w:id="7" w:name="_Toc102898207"/>
      <w:bookmarkStart w:id="8" w:name="_Toc103006572"/>
      <w:r w:rsidRPr="00007DB4">
        <w:rPr>
          <w:rFonts w:asciiTheme="minorHAnsi" w:hAnsiTheme="minorHAnsi" w:cstheme="minorHAnsi"/>
          <w:b/>
          <w:bCs/>
          <w:color w:val="000000" w:themeColor="text1"/>
          <w:sz w:val="24"/>
          <w:szCs w:val="24"/>
        </w:rPr>
        <w:lastRenderedPageBreak/>
        <w:t>INTRODUCTION</w:t>
      </w:r>
      <w:bookmarkEnd w:id="0"/>
      <w:bookmarkEnd w:id="1"/>
      <w:bookmarkEnd w:id="2"/>
      <w:bookmarkEnd w:id="3"/>
      <w:bookmarkEnd w:id="4"/>
      <w:bookmarkEnd w:id="5"/>
      <w:bookmarkEnd w:id="6"/>
      <w:bookmarkEnd w:id="7"/>
      <w:bookmarkEnd w:id="8"/>
    </w:p>
    <w:p w14:paraId="47B4EF05" w14:textId="17742B5E" w:rsidR="00915893" w:rsidRDefault="00915893" w:rsidP="00BF13A3">
      <w:pPr>
        <w:spacing w:before="120"/>
        <w:jc w:val="both"/>
        <w:rPr>
          <w:rFonts w:cs="Calibri"/>
          <w:color w:val="000000"/>
        </w:rPr>
      </w:pPr>
      <w:r w:rsidRPr="00861EC2">
        <w:rPr>
          <w:rFonts w:cs="Calibri"/>
        </w:rPr>
        <w:t>Le Centre d’Excellence Africain en Agriculture pour la Sécurité Alimentaire et Nutritionnelle (AGRISAN)</w:t>
      </w:r>
      <w:r w:rsidRPr="0007699D">
        <w:rPr>
          <w:rFonts w:cs="Calibri"/>
          <w:color w:val="000000"/>
        </w:rPr>
        <w:t xml:space="preserve">, est un Consortium public de coopération scientifique regroupant quatre (04) universités (UCAD, UGB, UT, USSEIN) et </w:t>
      </w:r>
      <w:r>
        <w:rPr>
          <w:rFonts w:cs="Calibri"/>
          <w:color w:val="000000"/>
        </w:rPr>
        <w:t>le CRES, une institution de recherche indépendante</w:t>
      </w:r>
      <w:r w:rsidRPr="0007699D">
        <w:rPr>
          <w:rFonts w:cs="Calibri"/>
          <w:color w:val="000000"/>
        </w:rPr>
        <w:t xml:space="preserve">, les principaux acteurs nationaux de la recherche et de la formation dans le domaine des </w:t>
      </w:r>
      <w:proofErr w:type="spellStart"/>
      <w:r w:rsidRPr="0007699D">
        <w:rPr>
          <w:rFonts w:cs="Calibri"/>
          <w:color w:val="000000"/>
        </w:rPr>
        <w:t>agrobiosciences</w:t>
      </w:r>
      <w:proofErr w:type="spellEnd"/>
      <w:r w:rsidRPr="0007699D">
        <w:rPr>
          <w:rFonts w:cs="Calibri"/>
          <w:color w:val="000000"/>
        </w:rPr>
        <w:t xml:space="preserve"> auxquels sont associés des partenaires régionaux et internationaux. Il est placé sous la tutelle de l’UCAD.</w:t>
      </w:r>
      <w:r w:rsidR="004A1319">
        <w:rPr>
          <w:rFonts w:cs="Calibri"/>
          <w:color w:val="000000"/>
        </w:rPr>
        <w:t xml:space="preserve"> </w:t>
      </w:r>
    </w:p>
    <w:p w14:paraId="36DEEB5C" w14:textId="0A4D1AAD" w:rsidR="009F0D35" w:rsidRPr="009F0D35" w:rsidRDefault="004A1319" w:rsidP="009F0D35">
      <w:pPr>
        <w:spacing w:before="120"/>
        <w:jc w:val="both"/>
        <w:rPr>
          <w:rFonts w:cs="Calibri"/>
          <w:color w:val="000000"/>
        </w:rPr>
      </w:pPr>
      <w:r>
        <w:rPr>
          <w:rFonts w:cs="Calibri"/>
          <w:color w:val="000000"/>
        </w:rPr>
        <w:t>Le financement du CEA a été consacré par un accord signé le 19</w:t>
      </w:r>
      <w:r w:rsidR="005732FB">
        <w:rPr>
          <w:rFonts w:cs="Calibri"/>
          <w:color w:val="000000"/>
        </w:rPr>
        <w:t>/0</w:t>
      </w:r>
      <w:r w:rsidR="008D7A30">
        <w:rPr>
          <w:rFonts w:cs="Calibri"/>
          <w:color w:val="000000"/>
        </w:rPr>
        <w:t>7</w:t>
      </w:r>
      <w:r w:rsidR="005732FB">
        <w:rPr>
          <w:rFonts w:cs="Calibri"/>
          <w:color w:val="000000"/>
        </w:rPr>
        <w:t>/</w:t>
      </w:r>
      <w:r>
        <w:rPr>
          <w:rFonts w:cs="Calibri"/>
          <w:color w:val="000000"/>
        </w:rPr>
        <w:t xml:space="preserve">2019 entre le gouvernement du Sénégal et la BM. Le premier financement a été versé le </w:t>
      </w:r>
      <w:r w:rsidR="009F0D35" w:rsidRPr="009F0D35">
        <w:rPr>
          <w:rFonts w:cs="Calibri"/>
          <w:color w:val="000000"/>
        </w:rPr>
        <w:t>08/06/2020</w:t>
      </w:r>
      <w:r w:rsidR="005732FB">
        <w:rPr>
          <w:rFonts w:cs="Calibri"/>
          <w:color w:val="000000"/>
        </w:rPr>
        <w:t>.</w:t>
      </w:r>
    </w:p>
    <w:p w14:paraId="692B9F2F" w14:textId="5E411792" w:rsidR="004A1319" w:rsidRDefault="004A1319" w:rsidP="00BF13A3">
      <w:pPr>
        <w:spacing w:before="120"/>
        <w:jc w:val="both"/>
        <w:rPr>
          <w:rFonts w:ascii="Times New Roman" w:hAnsi="Times New Roman"/>
          <w:i/>
        </w:rPr>
      </w:pPr>
      <w:r>
        <w:rPr>
          <w:rFonts w:cs="Calibri"/>
          <w:color w:val="000000"/>
        </w:rPr>
        <w:t xml:space="preserve">A partir </w:t>
      </w:r>
      <w:r w:rsidR="006D5FD1">
        <w:rPr>
          <w:rFonts w:cs="Calibri"/>
          <w:color w:val="000000"/>
        </w:rPr>
        <w:t>de cette date</w:t>
      </w:r>
      <w:r w:rsidR="000711E4">
        <w:rPr>
          <w:rFonts w:cs="Calibri"/>
          <w:color w:val="000000"/>
        </w:rPr>
        <w:t> ,</w:t>
      </w:r>
      <w:r w:rsidR="006D5FD1">
        <w:rPr>
          <w:rFonts w:cs="Calibri"/>
          <w:color w:val="000000"/>
        </w:rPr>
        <w:t xml:space="preserve"> le CEA-AGRISAN </w:t>
      </w:r>
      <w:r>
        <w:rPr>
          <w:rFonts w:cs="Calibri"/>
          <w:color w:val="000000"/>
        </w:rPr>
        <w:t xml:space="preserve">a </w:t>
      </w:r>
      <w:r w:rsidR="006D5FD1">
        <w:rPr>
          <w:rFonts w:cs="Calibri"/>
          <w:color w:val="000000"/>
        </w:rPr>
        <w:t xml:space="preserve">commencé </w:t>
      </w:r>
      <w:r w:rsidR="000711E4">
        <w:rPr>
          <w:rFonts w:cs="Calibri"/>
          <w:color w:val="000000"/>
        </w:rPr>
        <w:t xml:space="preserve">à </w:t>
      </w:r>
      <w:r w:rsidR="009608A1">
        <w:rPr>
          <w:rFonts w:cs="Calibri"/>
          <w:color w:val="000000"/>
        </w:rPr>
        <w:t>réaliser</w:t>
      </w:r>
      <w:r>
        <w:rPr>
          <w:rFonts w:cs="Calibri"/>
          <w:color w:val="000000"/>
        </w:rPr>
        <w:t xml:space="preserve"> </w:t>
      </w:r>
      <w:r w:rsidR="009608A1">
        <w:rPr>
          <w:rFonts w:cs="Calibri"/>
          <w:color w:val="000000"/>
        </w:rPr>
        <w:t>des</w:t>
      </w:r>
      <w:r>
        <w:rPr>
          <w:rFonts w:cs="Calibri"/>
          <w:color w:val="000000"/>
        </w:rPr>
        <w:t xml:space="preserve"> activités </w:t>
      </w:r>
      <w:r w:rsidR="009608A1">
        <w:rPr>
          <w:rFonts w:cs="Calibri"/>
          <w:color w:val="000000"/>
        </w:rPr>
        <w:t>pour mobiliser son financement et à exécuter des</w:t>
      </w:r>
      <w:r>
        <w:rPr>
          <w:rFonts w:cs="Calibri"/>
          <w:color w:val="000000"/>
        </w:rPr>
        <w:t xml:space="preserve"> dépenses </w:t>
      </w:r>
      <w:r w:rsidR="009608A1">
        <w:rPr>
          <w:rFonts w:cs="Calibri"/>
          <w:color w:val="000000"/>
        </w:rPr>
        <w:t>pour atteindre ses objectifs de développement. Ce travail est fait avec</w:t>
      </w:r>
      <w:r>
        <w:rPr>
          <w:rFonts w:cs="Calibri"/>
          <w:color w:val="000000"/>
        </w:rPr>
        <w:t xml:space="preserve"> le concours </w:t>
      </w:r>
      <w:r w:rsidR="009608A1">
        <w:rPr>
          <w:rFonts w:cs="Calibri"/>
          <w:color w:val="000000"/>
        </w:rPr>
        <w:t xml:space="preserve">d’un </w:t>
      </w:r>
      <w:r>
        <w:rPr>
          <w:rFonts w:cs="Calibri"/>
          <w:color w:val="000000"/>
        </w:rPr>
        <w:t xml:space="preserve">personnel </w:t>
      </w:r>
      <w:r w:rsidR="009608A1">
        <w:rPr>
          <w:rFonts w:cs="Calibri"/>
          <w:color w:val="000000"/>
        </w:rPr>
        <w:t>d’appui (</w:t>
      </w:r>
      <w:r>
        <w:rPr>
          <w:rFonts w:cs="Calibri"/>
          <w:color w:val="000000"/>
        </w:rPr>
        <w:t>comptable</w:t>
      </w:r>
      <w:r w:rsidR="009608A1">
        <w:rPr>
          <w:rFonts w:cs="Calibri"/>
          <w:color w:val="000000"/>
        </w:rPr>
        <w:t> ;</w:t>
      </w:r>
      <w:r>
        <w:rPr>
          <w:rFonts w:cs="Calibri"/>
          <w:color w:val="000000"/>
        </w:rPr>
        <w:t xml:space="preserve"> R</w:t>
      </w:r>
      <w:r w:rsidR="005732FB">
        <w:rPr>
          <w:rFonts w:cs="Calibri"/>
          <w:color w:val="000000"/>
        </w:rPr>
        <w:t>esponsable de passation des marché</w:t>
      </w:r>
      <w:r w:rsidR="009608A1">
        <w:rPr>
          <w:rFonts w:cs="Calibri"/>
          <w:color w:val="000000"/>
        </w:rPr>
        <w:t xml:space="preserve">) </w:t>
      </w:r>
      <w:r>
        <w:rPr>
          <w:rFonts w:cs="Calibri"/>
          <w:color w:val="000000"/>
        </w:rPr>
        <w:t>mutualisé</w:t>
      </w:r>
      <w:r w:rsidR="006D5FD1">
        <w:rPr>
          <w:rFonts w:cs="Calibri"/>
          <w:color w:val="000000"/>
        </w:rPr>
        <w:t>s</w:t>
      </w:r>
      <w:r>
        <w:rPr>
          <w:rFonts w:cs="Calibri"/>
          <w:color w:val="000000"/>
        </w:rPr>
        <w:t xml:space="preserve"> avec le SAMEF et </w:t>
      </w:r>
      <w:r w:rsidR="006D5FD1">
        <w:rPr>
          <w:rFonts w:cs="Calibri"/>
          <w:color w:val="000000"/>
        </w:rPr>
        <w:t>avec l</w:t>
      </w:r>
      <w:r>
        <w:rPr>
          <w:rFonts w:cs="Calibri"/>
          <w:color w:val="000000"/>
        </w:rPr>
        <w:t>e CEA-AGIR</w:t>
      </w:r>
      <w:r w:rsidR="009608A1">
        <w:rPr>
          <w:rFonts w:cs="Calibri"/>
          <w:color w:val="000000"/>
        </w:rPr>
        <w:t>.</w:t>
      </w:r>
    </w:p>
    <w:p w14:paraId="3248EAFB" w14:textId="7086E699" w:rsidR="00807D1A" w:rsidRDefault="00915893" w:rsidP="00BF13A3">
      <w:pPr>
        <w:spacing w:before="120"/>
        <w:jc w:val="both"/>
        <w:rPr>
          <w:rFonts w:cs="Calibri"/>
          <w:color w:val="000000"/>
        </w:rPr>
      </w:pPr>
      <w:r w:rsidRPr="0007699D">
        <w:rPr>
          <w:rFonts w:cs="Calibri"/>
          <w:color w:val="000000"/>
        </w:rPr>
        <w:t xml:space="preserve">Les résultats </w:t>
      </w:r>
      <w:r w:rsidR="006D5FD1">
        <w:rPr>
          <w:rFonts w:cs="Calibri"/>
          <w:color w:val="000000"/>
        </w:rPr>
        <w:t xml:space="preserve">auxquels s’attache la réussite du CEA </w:t>
      </w:r>
      <w:r w:rsidRPr="0007699D">
        <w:rPr>
          <w:rFonts w:cs="Calibri"/>
          <w:color w:val="000000"/>
        </w:rPr>
        <w:t>sont</w:t>
      </w:r>
      <w:r w:rsidR="006D5FD1">
        <w:rPr>
          <w:rFonts w:cs="Calibri"/>
          <w:color w:val="000000"/>
        </w:rPr>
        <w:t xml:space="preserve"> de deux ordres</w:t>
      </w:r>
      <w:r w:rsidR="005732FB">
        <w:rPr>
          <w:rFonts w:cs="Calibri"/>
          <w:color w:val="000000"/>
        </w:rPr>
        <w:t xml:space="preserve">. </w:t>
      </w:r>
      <w:r w:rsidR="006D5FD1">
        <w:rPr>
          <w:rFonts w:cs="Calibri"/>
          <w:color w:val="000000"/>
        </w:rPr>
        <w:t>Il s’agit</w:t>
      </w:r>
      <w:r w:rsidR="00807D1A">
        <w:rPr>
          <w:rFonts w:cs="Calibri"/>
          <w:color w:val="000000"/>
        </w:rPr>
        <w:t> :</w:t>
      </w:r>
    </w:p>
    <w:p w14:paraId="53DF7AD2" w14:textId="2FE9DD28" w:rsidR="006D5FD1" w:rsidRPr="00BF13A3" w:rsidRDefault="006D5FD1" w:rsidP="00BF13A3">
      <w:pPr>
        <w:pStyle w:val="Paragraphedeliste"/>
        <w:numPr>
          <w:ilvl w:val="0"/>
          <w:numId w:val="3"/>
        </w:numPr>
        <w:spacing w:before="120"/>
        <w:jc w:val="both"/>
        <w:rPr>
          <w:rFonts w:cs="Calibri"/>
          <w:color w:val="000000"/>
        </w:rPr>
      </w:pPr>
      <w:r w:rsidRPr="00BF13A3">
        <w:rPr>
          <w:rFonts w:cs="Calibri"/>
          <w:color w:val="000000"/>
        </w:rPr>
        <w:t xml:space="preserve">de l’atteinte des indicateurs </w:t>
      </w:r>
      <w:r w:rsidR="00807D1A" w:rsidRPr="00BF13A3">
        <w:rPr>
          <w:rFonts w:cs="Calibri"/>
          <w:color w:val="000000"/>
        </w:rPr>
        <w:t>qui sont au nombre de sept (7) et qui relèvent de l’impact sur le développement ;</w:t>
      </w:r>
    </w:p>
    <w:p w14:paraId="39D6063F" w14:textId="780AAD2D" w:rsidR="00807D1A" w:rsidRPr="00BF13A3" w:rsidRDefault="00807D1A" w:rsidP="00BF13A3">
      <w:pPr>
        <w:pStyle w:val="Paragraphedeliste"/>
        <w:numPr>
          <w:ilvl w:val="0"/>
          <w:numId w:val="3"/>
        </w:numPr>
        <w:spacing w:before="120"/>
        <w:jc w:val="both"/>
        <w:rPr>
          <w:rFonts w:cs="Calibri"/>
          <w:color w:val="000000"/>
        </w:rPr>
      </w:pPr>
      <w:r w:rsidRPr="00BF13A3">
        <w:rPr>
          <w:rFonts w:cs="Calibri"/>
          <w:color w:val="000000"/>
        </w:rPr>
        <w:t>du niveau d’</w:t>
      </w:r>
      <w:r w:rsidR="00A44588" w:rsidRPr="00BF13A3">
        <w:rPr>
          <w:rFonts w:cs="Calibri"/>
          <w:color w:val="000000"/>
        </w:rPr>
        <w:t>e</w:t>
      </w:r>
      <w:r w:rsidRPr="00BF13A3">
        <w:rPr>
          <w:rFonts w:cs="Calibri"/>
          <w:color w:val="000000"/>
        </w:rPr>
        <w:t>xécution d</w:t>
      </w:r>
      <w:r w:rsidR="005732FB">
        <w:rPr>
          <w:rFonts w:cs="Calibri"/>
          <w:color w:val="000000"/>
        </w:rPr>
        <w:t xml:space="preserve">es </w:t>
      </w:r>
      <w:r w:rsidRPr="00BF13A3">
        <w:rPr>
          <w:rFonts w:cs="Calibri"/>
          <w:color w:val="000000"/>
        </w:rPr>
        <w:t>dépenses</w:t>
      </w:r>
    </w:p>
    <w:p w14:paraId="7558FE1C" w14:textId="78EFD733" w:rsidR="00A01E4B" w:rsidRDefault="00617F52" w:rsidP="00BF13A3">
      <w:pPr>
        <w:spacing w:before="120"/>
        <w:jc w:val="both"/>
        <w:rPr>
          <w:rFonts w:cs="Calibri"/>
          <w:color w:val="000000"/>
        </w:rPr>
      </w:pPr>
      <w:r>
        <w:rPr>
          <w:rFonts w:cs="Calibri"/>
          <w:color w:val="000000"/>
        </w:rPr>
        <w:t>A travers la</w:t>
      </w:r>
      <w:r w:rsidR="00D82152">
        <w:rPr>
          <w:rFonts w:cs="Calibri"/>
          <w:color w:val="000000"/>
        </w:rPr>
        <w:t xml:space="preserve"> </w:t>
      </w:r>
      <w:r w:rsidR="008831C8">
        <w:rPr>
          <w:rFonts w:cs="Calibri"/>
          <w:color w:val="000000"/>
        </w:rPr>
        <w:t>mission d’appui au</w:t>
      </w:r>
      <w:r w:rsidR="00D82152">
        <w:rPr>
          <w:rFonts w:cs="Calibri"/>
          <w:color w:val="000000"/>
        </w:rPr>
        <w:t xml:space="preserve"> </w:t>
      </w:r>
      <w:r>
        <w:rPr>
          <w:rFonts w:cs="Calibri"/>
          <w:color w:val="000000"/>
        </w:rPr>
        <w:t xml:space="preserve">projets de CEA </w:t>
      </w:r>
      <w:r w:rsidR="008831C8">
        <w:rPr>
          <w:rFonts w:cs="Calibri"/>
          <w:color w:val="000000"/>
        </w:rPr>
        <w:t>récemment effectuée à Dakar (25 au 28 avril 2022) </w:t>
      </w:r>
      <w:r w:rsidR="00107010">
        <w:rPr>
          <w:rFonts w:cs="Calibri"/>
          <w:color w:val="000000"/>
        </w:rPr>
        <w:t>,</w:t>
      </w:r>
      <w:r w:rsidR="008831C8">
        <w:rPr>
          <w:rFonts w:cs="Calibri"/>
          <w:color w:val="000000"/>
        </w:rPr>
        <w:t xml:space="preserve"> les </w:t>
      </w:r>
      <w:r w:rsidR="00F706CB">
        <w:rPr>
          <w:rFonts w:cs="Calibri"/>
          <w:color w:val="000000"/>
        </w:rPr>
        <w:t xml:space="preserve">experts de </w:t>
      </w:r>
      <w:r w:rsidR="008831C8">
        <w:rPr>
          <w:rFonts w:cs="Calibri"/>
          <w:color w:val="000000"/>
        </w:rPr>
        <w:t xml:space="preserve">la commission mixte </w:t>
      </w:r>
      <w:r w:rsidR="00F706CB">
        <w:rPr>
          <w:rFonts w:cs="Calibri"/>
          <w:color w:val="000000"/>
        </w:rPr>
        <w:t>AAU</w:t>
      </w:r>
      <w:r w:rsidR="008831C8">
        <w:rPr>
          <w:rFonts w:cs="Calibri"/>
          <w:color w:val="000000"/>
        </w:rPr>
        <w:t xml:space="preserve"> /</w:t>
      </w:r>
      <w:r w:rsidR="00F706CB">
        <w:rPr>
          <w:rFonts w:cs="Calibri"/>
          <w:color w:val="000000"/>
        </w:rPr>
        <w:t xml:space="preserve"> BM </w:t>
      </w:r>
      <w:r w:rsidR="008831C8">
        <w:rPr>
          <w:rFonts w:cs="Calibri"/>
          <w:color w:val="000000"/>
        </w:rPr>
        <w:t>ont</w:t>
      </w:r>
      <w:r w:rsidR="00F706CB">
        <w:rPr>
          <w:rFonts w:cs="Calibri"/>
          <w:color w:val="000000"/>
        </w:rPr>
        <w:t xml:space="preserve"> </w:t>
      </w:r>
      <w:r>
        <w:rPr>
          <w:rFonts w:cs="Calibri"/>
          <w:color w:val="000000"/>
        </w:rPr>
        <w:t>constaté l</w:t>
      </w:r>
      <w:r w:rsidR="008831C8">
        <w:rPr>
          <w:rFonts w:cs="Calibri"/>
          <w:color w:val="000000"/>
        </w:rPr>
        <w:t>a</w:t>
      </w:r>
      <w:r>
        <w:rPr>
          <w:rFonts w:cs="Calibri"/>
          <w:color w:val="000000"/>
        </w:rPr>
        <w:t xml:space="preserve"> faibles</w:t>
      </w:r>
      <w:r w:rsidR="008831C8">
        <w:rPr>
          <w:rFonts w:cs="Calibri"/>
          <w:color w:val="000000"/>
        </w:rPr>
        <w:t>se</w:t>
      </w:r>
      <w:r>
        <w:rPr>
          <w:rFonts w:cs="Calibri"/>
          <w:color w:val="000000"/>
        </w:rPr>
        <w:t xml:space="preserve"> </w:t>
      </w:r>
      <w:r w:rsidR="008831C8">
        <w:rPr>
          <w:rFonts w:cs="Calibri"/>
          <w:color w:val="000000"/>
        </w:rPr>
        <w:t>des progrès</w:t>
      </w:r>
      <w:r>
        <w:rPr>
          <w:rFonts w:cs="Calibri"/>
          <w:color w:val="000000"/>
        </w:rPr>
        <w:t xml:space="preserve"> d</w:t>
      </w:r>
      <w:r w:rsidR="008831C8">
        <w:rPr>
          <w:rFonts w:cs="Calibri"/>
          <w:color w:val="000000"/>
        </w:rPr>
        <w:t>ans</w:t>
      </w:r>
      <w:r>
        <w:rPr>
          <w:rFonts w:cs="Calibri"/>
          <w:color w:val="000000"/>
        </w:rPr>
        <w:t xml:space="preserve"> </w:t>
      </w:r>
      <w:r w:rsidR="005732FB">
        <w:rPr>
          <w:rFonts w:cs="Calibri"/>
          <w:color w:val="000000"/>
        </w:rPr>
        <w:t>mobilisation des fonds alloués</w:t>
      </w:r>
      <w:r>
        <w:rPr>
          <w:rFonts w:cs="Calibri"/>
          <w:color w:val="000000"/>
        </w:rPr>
        <w:t xml:space="preserve"> 3</w:t>
      </w:r>
      <w:r w:rsidR="005732FB">
        <w:rPr>
          <w:rFonts w:cs="Calibri"/>
          <w:color w:val="000000"/>
        </w:rPr>
        <w:t>2</w:t>
      </w:r>
      <w:r>
        <w:rPr>
          <w:rFonts w:cs="Calibri"/>
          <w:color w:val="000000"/>
        </w:rPr>
        <w:t xml:space="preserve">% et </w:t>
      </w:r>
      <w:r w:rsidR="008831C8">
        <w:rPr>
          <w:rFonts w:cs="Calibri"/>
          <w:color w:val="000000"/>
        </w:rPr>
        <w:t>dans les</w:t>
      </w:r>
      <w:r>
        <w:rPr>
          <w:rFonts w:cs="Calibri"/>
          <w:color w:val="000000"/>
        </w:rPr>
        <w:t xml:space="preserve"> dépense</w:t>
      </w:r>
      <w:r w:rsidR="005732FB">
        <w:rPr>
          <w:rFonts w:cs="Calibri"/>
          <w:color w:val="000000"/>
        </w:rPr>
        <w:t>s</w:t>
      </w:r>
      <w:r w:rsidR="00D82152">
        <w:rPr>
          <w:rFonts w:cs="Calibri"/>
          <w:color w:val="000000"/>
        </w:rPr>
        <w:t xml:space="preserve"> </w:t>
      </w:r>
      <w:r w:rsidR="005732FB">
        <w:rPr>
          <w:rFonts w:cs="Calibri"/>
          <w:color w:val="000000"/>
        </w:rPr>
        <w:t>(</w:t>
      </w:r>
      <w:r>
        <w:rPr>
          <w:rFonts w:cs="Calibri"/>
          <w:color w:val="000000"/>
        </w:rPr>
        <w:t>7</w:t>
      </w:r>
      <w:r w:rsidR="00D82152">
        <w:rPr>
          <w:rFonts w:cs="Calibri"/>
          <w:color w:val="000000"/>
        </w:rPr>
        <w:t>%</w:t>
      </w:r>
      <w:r w:rsidR="005732FB">
        <w:rPr>
          <w:rFonts w:cs="Calibri"/>
          <w:color w:val="000000"/>
        </w:rPr>
        <w:t>)</w:t>
      </w:r>
      <w:r>
        <w:rPr>
          <w:rFonts w:cs="Calibri"/>
          <w:color w:val="000000"/>
        </w:rPr>
        <w:t xml:space="preserve">. </w:t>
      </w:r>
      <w:r w:rsidR="00CC429F">
        <w:rPr>
          <w:rFonts w:cs="Calibri"/>
          <w:color w:val="000000"/>
        </w:rPr>
        <w:t>Sous ce rapport, l</w:t>
      </w:r>
      <w:r w:rsidR="00172739">
        <w:rPr>
          <w:rFonts w:cs="Calibri"/>
          <w:color w:val="000000"/>
        </w:rPr>
        <w:t xml:space="preserve">es experts </w:t>
      </w:r>
      <w:r w:rsidR="00553BD4">
        <w:rPr>
          <w:rFonts w:cs="Calibri"/>
          <w:color w:val="000000"/>
        </w:rPr>
        <w:t xml:space="preserve">ont demandé </w:t>
      </w:r>
      <w:r w:rsidR="002C72B5">
        <w:rPr>
          <w:rFonts w:cs="Calibri"/>
          <w:color w:val="000000"/>
        </w:rPr>
        <w:t xml:space="preserve">au </w:t>
      </w:r>
      <w:r w:rsidR="00553BD4">
        <w:rPr>
          <w:rFonts w:cs="Calibri"/>
          <w:color w:val="000000"/>
        </w:rPr>
        <w:t xml:space="preserve">comité exécutif </w:t>
      </w:r>
      <w:r w:rsidR="002C72B5">
        <w:rPr>
          <w:rFonts w:cs="Calibri"/>
          <w:color w:val="000000"/>
        </w:rPr>
        <w:t xml:space="preserve">du CEA-AGRISAN </w:t>
      </w:r>
      <w:r w:rsidR="00553BD4">
        <w:rPr>
          <w:rFonts w:cs="Calibri"/>
          <w:color w:val="000000"/>
        </w:rPr>
        <w:t xml:space="preserve">de proposer </w:t>
      </w:r>
      <w:r w:rsidR="00A01E4B">
        <w:rPr>
          <w:rFonts w:cs="Calibri"/>
          <w:color w:val="000000"/>
        </w:rPr>
        <w:t xml:space="preserve">un plan d’accélération </w:t>
      </w:r>
      <w:r w:rsidR="000711E4">
        <w:rPr>
          <w:rFonts w:cs="Calibri"/>
          <w:color w:val="000000"/>
        </w:rPr>
        <w:t>de la mise en œuvre du projet. Ce nouveau plan</w:t>
      </w:r>
      <w:r w:rsidR="00CC429F">
        <w:rPr>
          <w:rFonts w:cs="Calibri"/>
          <w:color w:val="000000"/>
        </w:rPr>
        <w:t xml:space="preserve"> adressé à l’atteinte des DLI et à l’exécution des dépenses</w:t>
      </w:r>
      <w:r w:rsidR="00F37B89">
        <w:rPr>
          <w:rFonts w:cs="Calibri"/>
          <w:color w:val="000000"/>
        </w:rPr>
        <w:t xml:space="preserve"> met en exergue les points de blocage et</w:t>
      </w:r>
      <w:r w:rsidR="000711E4">
        <w:rPr>
          <w:rFonts w:cs="Calibri"/>
          <w:color w:val="000000"/>
        </w:rPr>
        <w:t xml:space="preserve"> </w:t>
      </w:r>
      <w:r w:rsidR="004C6B13">
        <w:rPr>
          <w:rFonts w:cs="Calibri"/>
          <w:color w:val="000000"/>
        </w:rPr>
        <w:t>indique les</w:t>
      </w:r>
      <w:r w:rsidR="000711E4">
        <w:rPr>
          <w:rFonts w:cs="Calibri"/>
          <w:color w:val="000000"/>
        </w:rPr>
        <w:t xml:space="preserve"> </w:t>
      </w:r>
      <w:r w:rsidR="004C6B13">
        <w:rPr>
          <w:rFonts w:cs="Calibri"/>
          <w:color w:val="000000"/>
        </w:rPr>
        <w:t xml:space="preserve">actions permettant </w:t>
      </w:r>
      <w:r w:rsidR="00F37B89">
        <w:rPr>
          <w:rFonts w:cs="Calibri"/>
          <w:color w:val="000000"/>
        </w:rPr>
        <w:t xml:space="preserve">de relever ces défis </w:t>
      </w:r>
      <w:r w:rsidR="00CC429F">
        <w:rPr>
          <w:rFonts w:cs="Calibri"/>
          <w:color w:val="000000"/>
        </w:rPr>
        <w:t>pour</w:t>
      </w:r>
      <w:r w:rsidR="00F37B89">
        <w:rPr>
          <w:rFonts w:cs="Calibri"/>
          <w:color w:val="000000"/>
        </w:rPr>
        <w:t xml:space="preserve"> d’</w:t>
      </w:r>
      <w:r w:rsidR="004C6B13">
        <w:rPr>
          <w:rFonts w:cs="Calibri"/>
          <w:color w:val="000000"/>
        </w:rPr>
        <w:t>accélér</w:t>
      </w:r>
      <w:r w:rsidR="00F37B89">
        <w:rPr>
          <w:rFonts w:cs="Calibri"/>
          <w:color w:val="000000"/>
        </w:rPr>
        <w:t>er</w:t>
      </w:r>
      <w:r w:rsidR="000711E4">
        <w:rPr>
          <w:rFonts w:cs="Calibri"/>
          <w:color w:val="000000"/>
        </w:rPr>
        <w:t xml:space="preserve"> </w:t>
      </w:r>
      <w:r w:rsidR="004C6B13">
        <w:rPr>
          <w:rFonts w:cs="Calibri"/>
          <w:color w:val="000000"/>
        </w:rPr>
        <w:t xml:space="preserve">la mise en œuvre </w:t>
      </w:r>
      <w:r w:rsidR="00F37B89">
        <w:rPr>
          <w:rFonts w:cs="Calibri"/>
          <w:color w:val="000000"/>
        </w:rPr>
        <w:t xml:space="preserve">dans </w:t>
      </w:r>
      <w:r w:rsidR="00CC429F">
        <w:rPr>
          <w:rFonts w:cs="Calibri"/>
          <w:color w:val="000000"/>
        </w:rPr>
        <w:t>un délai de</w:t>
      </w:r>
      <w:r w:rsidR="00F37B89">
        <w:rPr>
          <w:rFonts w:cs="Calibri"/>
          <w:color w:val="000000"/>
        </w:rPr>
        <w:t xml:space="preserve"> deux mois. </w:t>
      </w:r>
      <w:r w:rsidR="006E20D3">
        <w:rPr>
          <w:rFonts w:cs="Calibri"/>
          <w:color w:val="000000"/>
        </w:rPr>
        <w:t>Il s’agit d’une feuille de route qui conduira au rattrapage</w:t>
      </w:r>
      <w:r w:rsidR="00A01E4B">
        <w:rPr>
          <w:rFonts w:cs="Calibri"/>
          <w:color w:val="000000"/>
        </w:rPr>
        <w:t xml:space="preserve"> </w:t>
      </w:r>
      <w:r w:rsidR="006E20D3">
        <w:rPr>
          <w:rFonts w:cs="Calibri"/>
          <w:color w:val="000000"/>
        </w:rPr>
        <w:t>d</w:t>
      </w:r>
      <w:r w:rsidR="00CC429F">
        <w:rPr>
          <w:rFonts w:cs="Calibri"/>
          <w:color w:val="000000"/>
        </w:rPr>
        <w:t xml:space="preserve">u retard </w:t>
      </w:r>
      <w:r w:rsidR="002C72B5">
        <w:rPr>
          <w:rFonts w:cs="Calibri"/>
          <w:color w:val="000000"/>
        </w:rPr>
        <w:t>d’exécution</w:t>
      </w:r>
      <w:r w:rsidR="006E20D3">
        <w:rPr>
          <w:rFonts w:cs="Calibri"/>
          <w:color w:val="000000"/>
        </w:rPr>
        <w:t xml:space="preserve"> et les gap de réalisation</w:t>
      </w:r>
      <w:r w:rsidR="00A01E4B">
        <w:rPr>
          <w:rFonts w:cs="Calibri"/>
          <w:color w:val="000000"/>
        </w:rPr>
        <w:t>.</w:t>
      </w:r>
    </w:p>
    <w:p w14:paraId="790F1CB5" w14:textId="77777777" w:rsidR="00F52C71" w:rsidRDefault="006E20D3" w:rsidP="00837A0C">
      <w:pPr>
        <w:spacing w:before="120"/>
        <w:jc w:val="both"/>
        <w:rPr>
          <w:rFonts w:cs="Calibri"/>
          <w:color w:val="000000"/>
        </w:rPr>
      </w:pPr>
      <w:r w:rsidRPr="00837A0C">
        <w:rPr>
          <w:rFonts w:cs="Calibri"/>
          <w:color w:val="000000"/>
        </w:rPr>
        <w:t>Le</w:t>
      </w:r>
      <w:r w:rsidR="00292657" w:rsidRPr="00837A0C">
        <w:rPr>
          <w:rFonts w:cs="Calibri"/>
          <w:color w:val="000000"/>
        </w:rPr>
        <w:t xml:space="preserve"> </w:t>
      </w:r>
      <w:r w:rsidRPr="00837A0C">
        <w:rPr>
          <w:rFonts w:cs="Calibri"/>
          <w:color w:val="000000"/>
        </w:rPr>
        <w:t>document</w:t>
      </w:r>
      <w:r w:rsidR="00553BD4" w:rsidRPr="00837A0C">
        <w:rPr>
          <w:rFonts w:cs="Calibri"/>
          <w:color w:val="000000"/>
        </w:rPr>
        <w:t xml:space="preserve"> </w:t>
      </w:r>
      <w:r w:rsidR="00F52C71">
        <w:rPr>
          <w:rFonts w:cs="Calibri"/>
          <w:color w:val="000000"/>
        </w:rPr>
        <w:t>comporte deux grandes parties que sont :</w:t>
      </w:r>
    </w:p>
    <w:p w14:paraId="52EF2D05" w14:textId="3CABCFDA" w:rsidR="00F52C71" w:rsidRDefault="002C72B5" w:rsidP="00837A0C">
      <w:pPr>
        <w:spacing w:before="120"/>
        <w:jc w:val="both"/>
        <w:rPr>
          <w:rFonts w:cs="Calibri"/>
          <w:color w:val="000000"/>
        </w:rPr>
      </w:pPr>
      <w:r w:rsidRPr="00837A0C">
        <w:rPr>
          <w:rFonts w:cs="Calibri"/>
          <w:color w:val="000000"/>
        </w:rPr>
        <w:t xml:space="preserve">d’une part </w:t>
      </w:r>
      <w:r w:rsidR="00377C32" w:rsidRPr="00837A0C">
        <w:rPr>
          <w:rFonts w:cs="Calibri"/>
          <w:b/>
          <w:bCs/>
          <w:color w:val="000000"/>
        </w:rPr>
        <w:t xml:space="preserve">la situation </w:t>
      </w:r>
      <w:r w:rsidR="0049214B">
        <w:rPr>
          <w:rFonts w:cs="Calibri"/>
          <w:b/>
          <w:bCs/>
          <w:color w:val="000000"/>
        </w:rPr>
        <w:t xml:space="preserve">des décaissements et des dépenses </w:t>
      </w:r>
      <w:r w:rsidR="00553BD4" w:rsidRPr="00837A0C">
        <w:rPr>
          <w:rFonts w:cs="Calibri"/>
          <w:color w:val="000000"/>
        </w:rPr>
        <w:t xml:space="preserve"> qui </w:t>
      </w:r>
      <w:r w:rsidR="00837A0C" w:rsidRPr="00837A0C">
        <w:rPr>
          <w:rFonts w:cs="Calibri"/>
          <w:color w:val="000000"/>
        </w:rPr>
        <w:t>comporte</w:t>
      </w:r>
      <w:r w:rsidR="00F52C71">
        <w:rPr>
          <w:rFonts w:cs="Calibri"/>
          <w:color w:val="000000"/>
        </w:rPr>
        <w:t> :</w:t>
      </w:r>
    </w:p>
    <w:p w14:paraId="5090455C" w14:textId="7B078320" w:rsidR="00F52C71" w:rsidRPr="0049214B" w:rsidRDefault="00F52C71" w:rsidP="0049214B">
      <w:pPr>
        <w:pStyle w:val="Paragraphedeliste"/>
        <w:numPr>
          <w:ilvl w:val="0"/>
          <w:numId w:val="12"/>
        </w:numPr>
        <w:spacing w:before="120"/>
        <w:jc w:val="both"/>
        <w:rPr>
          <w:rFonts w:cs="Calibri"/>
          <w:color w:val="000000"/>
        </w:rPr>
      </w:pPr>
      <w:r w:rsidRPr="0049214B">
        <w:rPr>
          <w:rFonts w:cs="Calibri"/>
          <w:color w:val="000000"/>
        </w:rPr>
        <w:t>Le</w:t>
      </w:r>
      <w:r w:rsidR="00837A0C" w:rsidRPr="0049214B">
        <w:rPr>
          <w:rFonts w:cs="Calibri"/>
          <w:color w:val="000000"/>
        </w:rPr>
        <w:t xml:space="preserve"> tableau</w:t>
      </w:r>
      <w:r w:rsidR="00553BD4" w:rsidRPr="0049214B">
        <w:rPr>
          <w:rFonts w:cs="Calibri"/>
          <w:color w:val="000000"/>
        </w:rPr>
        <w:t xml:space="preserve"> </w:t>
      </w:r>
      <w:r w:rsidR="00837A0C" w:rsidRPr="0049214B">
        <w:rPr>
          <w:rFonts w:cs="Calibri"/>
          <w:color w:val="000000"/>
        </w:rPr>
        <w:t>(tableau 1)</w:t>
      </w:r>
      <w:r w:rsidRPr="0049214B">
        <w:rPr>
          <w:rFonts w:cs="Calibri"/>
          <w:color w:val="000000"/>
        </w:rPr>
        <w:t xml:space="preserve"> </w:t>
      </w:r>
      <w:r w:rsidR="0049214B">
        <w:rPr>
          <w:rFonts w:cs="Calibri"/>
          <w:color w:val="000000"/>
        </w:rPr>
        <w:t xml:space="preserve"> sur les décaissements </w:t>
      </w:r>
      <w:r w:rsidRPr="0049214B">
        <w:rPr>
          <w:rFonts w:cs="Calibri"/>
          <w:color w:val="000000"/>
        </w:rPr>
        <w:t>accompagné d’</w:t>
      </w:r>
      <w:r w:rsidR="00837A0C" w:rsidRPr="0049214B">
        <w:rPr>
          <w:rFonts w:cs="Calibri"/>
          <w:color w:val="000000"/>
        </w:rPr>
        <w:t>un narratif sur les</w:t>
      </w:r>
      <w:r w:rsidR="00696EA7" w:rsidRPr="0049214B">
        <w:rPr>
          <w:rFonts w:cs="Calibri"/>
          <w:color w:val="000000"/>
        </w:rPr>
        <w:t xml:space="preserve"> </w:t>
      </w:r>
      <w:r w:rsidR="00837A0C" w:rsidRPr="0049214B">
        <w:rPr>
          <w:rFonts w:cs="Calibri"/>
          <w:color w:val="000000"/>
        </w:rPr>
        <w:t>indicateurs et</w:t>
      </w:r>
      <w:r w:rsidR="002C72B5" w:rsidRPr="0049214B">
        <w:rPr>
          <w:rFonts w:cs="Calibri"/>
          <w:color w:val="000000"/>
        </w:rPr>
        <w:t xml:space="preserve"> activités </w:t>
      </w:r>
      <w:r w:rsidR="006E20D3" w:rsidRPr="0049214B">
        <w:rPr>
          <w:rFonts w:cs="Calibri"/>
          <w:color w:val="000000"/>
        </w:rPr>
        <w:t>qui font appel à une urgente intervention</w:t>
      </w:r>
      <w:r w:rsidR="00837A0C" w:rsidRPr="0049214B">
        <w:rPr>
          <w:rFonts w:cs="Calibri"/>
          <w:color w:val="000000"/>
        </w:rPr>
        <w:t xml:space="preserve"> ; </w:t>
      </w:r>
    </w:p>
    <w:p w14:paraId="24DD739F" w14:textId="4AD8EF59" w:rsidR="00837A0C" w:rsidRPr="0049214B" w:rsidRDefault="00F52C71" w:rsidP="0049214B">
      <w:pPr>
        <w:pStyle w:val="Paragraphedeliste"/>
        <w:numPr>
          <w:ilvl w:val="0"/>
          <w:numId w:val="12"/>
        </w:numPr>
        <w:spacing w:before="120"/>
        <w:jc w:val="both"/>
        <w:rPr>
          <w:rFonts w:cs="Calibri"/>
          <w:color w:val="000000"/>
        </w:rPr>
      </w:pPr>
      <w:r w:rsidRPr="0049214B">
        <w:rPr>
          <w:rFonts w:cs="Calibri"/>
          <w:color w:val="000000"/>
        </w:rPr>
        <w:t>Le tableau 2</w:t>
      </w:r>
      <w:r w:rsidR="00837A0C" w:rsidRPr="0049214B">
        <w:rPr>
          <w:rFonts w:cs="Calibri"/>
          <w:b/>
          <w:bCs/>
          <w:color w:val="000000"/>
        </w:rPr>
        <w:t xml:space="preserve"> </w:t>
      </w:r>
      <w:r w:rsidRPr="0049214B">
        <w:rPr>
          <w:rFonts w:cs="Calibri"/>
          <w:b/>
          <w:bCs/>
          <w:color w:val="000000"/>
        </w:rPr>
        <w:t>sur l</w:t>
      </w:r>
      <w:r w:rsidR="0049214B" w:rsidRPr="0049214B">
        <w:rPr>
          <w:rFonts w:cs="Calibri"/>
          <w:b/>
          <w:bCs/>
          <w:color w:val="000000"/>
        </w:rPr>
        <w:t xml:space="preserve">es dépenses exécutées au </w:t>
      </w:r>
      <w:r w:rsidR="00837A0C" w:rsidRPr="0049214B">
        <w:rPr>
          <w:rFonts w:cs="Calibri"/>
          <w:color w:val="000000"/>
        </w:rPr>
        <w:t>06 mai 2022 ;</w:t>
      </w:r>
    </w:p>
    <w:p w14:paraId="23473305" w14:textId="20392E78" w:rsidR="00292657" w:rsidRDefault="00F52C71" w:rsidP="00BF13A3">
      <w:pPr>
        <w:spacing w:before="120"/>
        <w:jc w:val="both"/>
        <w:rPr>
          <w:rFonts w:cs="Calibri"/>
          <w:color w:val="000000"/>
        </w:rPr>
      </w:pPr>
      <w:r>
        <w:rPr>
          <w:rFonts w:cs="Calibri"/>
          <w:color w:val="000000"/>
        </w:rPr>
        <w:t xml:space="preserve">et </w:t>
      </w:r>
      <w:r w:rsidR="00B44291" w:rsidRPr="00B44291">
        <w:rPr>
          <w:rFonts w:cs="Calibri"/>
          <w:color w:val="000000"/>
        </w:rPr>
        <w:t xml:space="preserve">d’autre part </w:t>
      </w:r>
      <w:r w:rsidR="00B44291" w:rsidRPr="00BF13A3">
        <w:rPr>
          <w:rFonts w:cs="Calibri"/>
          <w:b/>
          <w:bCs/>
          <w:color w:val="000000"/>
        </w:rPr>
        <w:t>un plan d’action</w:t>
      </w:r>
      <w:r w:rsidR="00B44291" w:rsidRPr="00B44291">
        <w:rPr>
          <w:rFonts w:cs="Calibri"/>
          <w:color w:val="000000"/>
        </w:rPr>
        <w:t xml:space="preserve"> décliné </w:t>
      </w:r>
      <w:r w:rsidR="00E1705A">
        <w:rPr>
          <w:rFonts w:cs="Calibri"/>
          <w:color w:val="000000"/>
        </w:rPr>
        <w:t>en</w:t>
      </w:r>
      <w:r w:rsidR="00292657">
        <w:rPr>
          <w:rFonts w:cs="Calibri"/>
          <w:color w:val="000000"/>
        </w:rPr>
        <w:t xml:space="preserve"> </w:t>
      </w:r>
      <w:r w:rsidR="00E1705A">
        <w:rPr>
          <w:rFonts w:cs="Calibri"/>
          <w:color w:val="000000"/>
        </w:rPr>
        <w:t>deux</w:t>
      </w:r>
      <w:r w:rsidR="00292657">
        <w:rPr>
          <w:rFonts w:cs="Calibri"/>
          <w:color w:val="000000"/>
        </w:rPr>
        <w:t xml:space="preserve"> tableaux. </w:t>
      </w:r>
    </w:p>
    <w:p w14:paraId="18E04A5B" w14:textId="2C4B5105" w:rsidR="00292657" w:rsidRPr="000E0051" w:rsidRDefault="000E0051" w:rsidP="00292657">
      <w:pPr>
        <w:pStyle w:val="Paragraphedeliste"/>
        <w:numPr>
          <w:ilvl w:val="0"/>
          <w:numId w:val="5"/>
        </w:numPr>
        <w:spacing w:before="120"/>
        <w:jc w:val="both"/>
        <w:rPr>
          <w:rFonts w:ascii="Calibri" w:eastAsia="Times New Roman" w:hAnsi="Calibri" w:cs="Calibri"/>
          <w:color w:val="000000"/>
          <w:lang w:eastAsia="fr-FR"/>
        </w:rPr>
      </w:pPr>
      <w:r>
        <w:rPr>
          <w:rFonts w:cs="Calibri"/>
          <w:color w:val="000000"/>
        </w:rPr>
        <w:t>Le</w:t>
      </w:r>
      <w:r w:rsidR="00292657" w:rsidRPr="00292657">
        <w:rPr>
          <w:rFonts w:cs="Calibri"/>
          <w:color w:val="000000"/>
        </w:rPr>
        <w:t xml:space="preserve"> tableau </w:t>
      </w:r>
      <w:r w:rsidR="00F52C71">
        <w:rPr>
          <w:rFonts w:cs="Calibri"/>
          <w:color w:val="000000"/>
        </w:rPr>
        <w:t>3</w:t>
      </w:r>
      <w:r>
        <w:rPr>
          <w:rFonts w:cs="Calibri"/>
          <w:color w:val="000000"/>
        </w:rPr>
        <w:t xml:space="preserve"> </w:t>
      </w:r>
      <w:r w:rsidR="00292657" w:rsidRPr="00292657">
        <w:rPr>
          <w:rFonts w:cs="Calibri"/>
          <w:color w:val="000000"/>
        </w:rPr>
        <w:t xml:space="preserve">qui </w:t>
      </w:r>
      <w:r w:rsidR="005A34F1">
        <w:rPr>
          <w:rFonts w:cs="Calibri"/>
          <w:color w:val="000000"/>
        </w:rPr>
        <w:t xml:space="preserve">présente le </w:t>
      </w:r>
      <w:r w:rsidR="005A34F1" w:rsidRPr="000E0051">
        <w:rPr>
          <w:rFonts w:ascii="Times New Roman" w:eastAsia="Times New Roman" w:hAnsi="Times New Roman" w:cs="Times New Roman"/>
          <w:color w:val="000000"/>
          <w:lang w:eastAsia="fr-FR"/>
        </w:rPr>
        <w:t>Plan d’action, les mesures d’accélération et activités prévues</w:t>
      </w:r>
      <w:r w:rsidR="00A34862">
        <w:rPr>
          <w:rFonts w:ascii="Times New Roman" w:eastAsia="Times New Roman" w:hAnsi="Times New Roman" w:cs="Times New Roman"/>
          <w:color w:val="000000"/>
          <w:lang w:eastAsia="fr-FR"/>
        </w:rPr>
        <w:t> ;</w:t>
      </w:r>
    </w:p>
    <w:p w14:paraId="7F5D0F8D" w14:textId="483A1ADE" w:rsidR="004B7F8A" w:rsidRPr="004B7F8A" w:rsidRDefault="000E0051" w:rsidP="004B7F8A">
      <w:pPr>
        <w:pStyle w:val="Paragraphedeliste"/>
        <w:numPr>
          <w:ilvl w:val="0"/>
          <w:numId w:val="5"/>
        </w:numPr>
        <w:spacing w:before="120"/>
        <w:jc w:val="both"/>
        <w:rPr>
          <w:rFonts w:cs="Calibri"/>
          <w:color w:val="000000"/>
        </w:rPr>
      </w:pPr>
      <w:r>
        <w:rPr>
          <w:rFonts w:cs="Calibri"/>
          <w:color w:val="000000"/>
        </w:rPr>
        <w:t>Le</w:t>
      </w:r>
      <w:r w:rsidRPr="00292657">
        <w:rPr>
          <w:rFonts w:cs="Calibri"/>
          <w:color w:val="000000"/>
        </w:rPr>
        <w:t xml:space="preserve"> tableau </w:t>
      </w:r>
      <w:r>
        <w:rPr>
          <w:rFonts w:cs="Calibri"/>
          <w:color w:val="000000"/>
        </w:rPr>
        <w:t xml:space="preserve">4 </w:t>
      </w:r>
      <w:r w:rsidR="00A34862">
        <w:rPr>
          <w:rFonts w:cs="Calibri"/>
          <w:color w:val="000000"/>
        </w:rPr>
        <w:t xml:space="preserve">qui présente les </w:t>
      </w:r>
      <w:r>
        <w:rPr>
          <w:rFonts w:cs="Calibri"/>
          <w:color w:val="000000"/>
        </w:rPr>
        <w:t>p</w:t>
      </w:r>
      <w:r w:rsidRPr="004B7F8A">
        <w:rPr>
          <w:rFonts w:cs="Calibri"/>
          <w:color w:val="000000"/>
        </w:rPr>
        <w:t xml:space="preserve">révisions de décaissement </w:t>
      </w:r>
      <w:r w:rsidR="00A34862">
        <w:rPr>
          <w:rFonts w:cs="Calibri"/>
          <w:color w:val="000000"/>
        </w:rPr>
        <w:t>sur les deux prochains mois (</w:t>
      </w:r>
      <w:r w:rsidRPr="004B7F8A">
        <w:rPr>
          <w:rFonts w:cs="Calibri"/>
          <w:color w:val="000000"/>
        </w:rPr>
        <w:t>mai-juin 2022</w:t>
      </w:r>
      <w:r w:rsidR="00A34862">
        <w:rPr>
          <w:rFonts w:cs="Calibri"/>
          <w:color w:val="000000"/>
        </w:rPr>
        <w:t>).</w:t>
      </w:r>
    </w:p>
    <w:p w14:paraId="23DE0E88" w14:textId="77777777" w:rsidR="00292657" w:rsidRPr="00B44291" w:rsidRDefault="00292657" w:rsidP="00BF13A3">
      <w:pPr>
        <w:spacing w:before="120"/>
        <w:jc w:val="both"/>
        <w:rPr>
          <w:rFonts w:ascii="Calibri" w:eastAsia="Times New Roman" w:hAnsi="Calibri" w:cs="Calibri"/>
          <w:b/>
          <w:bCs/>
          <w:color w:val="000000"/>
          <w:lang w:eastAsia="fr-FR"/>
        </w:rPr>
      </w:pPr>
    </w:p>
    <w:p w14:paraId="36587379" w14:textId="45CF2689" w:rsidR="005B724B" w:rsidRPr="00007DB4" w:rsidRDefault="00BC5A70" w:rsidP="00007DB4">
      <w:pPr>
        <w:pStyle w:val="Titre1"/>
        <w:numPr>
          <w:ilvl w:val="0"/>
          <w:numId w:val="8"/>
        </w:numPr>
        <w:ind w:left="426" w:hanging="371"/>
        <w:rPr>
          <w:rFonts w:asciiTheme="minorHAnsi" w:hAnsiTheme="minorHAnsi" w:cstheme="minorHAnsi"/>
          <w:b/>
          <w:bCs/>
          <w:color w:val="000000" w:themeColor="text1"/>
          <w:sz w:val="24"/>
          <w:szCs w:val="24"/>
        </w:rPr>
      </w:pPr>
      <w:bookmarkStart w:id="9" w:name="_Toc102897389"/>
      <w:bookmarkStart w:id="10" w:name="_Toc102897604"/>
      <w:bookmarkStart w:id="11" w:name="_Toc102897665"/>
      <w:bookmarkStart w:id="12" w:name="_Toc102897743"/>
      <w:bookmarkStart w:id="13" w:name="_Toc102898055"/>
      <w:bookmarkStart w:id="14" w:name="_Toc102898104"/>
      <w:bookmarkStart w:id="15" w:name="_Toc102898161"/>
      <w:bookmarkStart w:id="16" w:name="_Toc102898208"/>
      <w:bookmarkStart w:id="17" w:name="_Toc103006573"/>
      <w:r>
        <w:rPr>
          <w:rFonts w:asciiTheme="minorHAnsi" w:hAnsiTheme="minorHAnsi" w:cstheme="minorHAnsi"/>
          <w:b/>
          <w:bCs/>
          <w:color w:val="000000" w:themeColor="text1"/>
          <w:sz w:val="24"/>
          <w:szCs w:val="24"/>
        </w:rPr>
        <w:t>SITUATION DE DECAISSEMENT ET</w:t>
      </w:r>
      <w:r w:rsidR="00CE1A6D" w:rsidRPr="00007DB4">
        <w:rPr>
          <w:rFonts w:asciiTheme="minorHAnsi" w:hAnsiTheme="minorHAnsi" w:cstheme="minorHAnsi"/>
          <w:b/>
          <w:bCs/>
          <w:color w:val="000000" w:themeColor="text1"/>
          <w:sz w:val="24"/>
          <w:szCs w:val="24"/>
        </w:rPr>
        <w:t xml:space="preserve"> DESCRIPTIF DES POINTS D’ATTENTION ET ELEMENTS D’INTERVENTION</w:t>
      </w:r>
      <w:r>
        <w:rPr>
          <w:rFonts w:asciiTheme="minorHAnsi" w:hAnsiTheme="minorHAnsi" w:cstheme="minorHAnsi"/>
          <w:b/>
          <w:bCs/>
          <w:color w:val="000000" w:themeColor="text1"/>
          <w:sz w:val="24"/>
          <w:szCs w:val="24"/>
        </w:rPr>
        <w:t xml:space="preserve"> (RLD)</w:t>
      </w:r>
      <w:bookmarkEnd w:id="9"/>
      <w:bookmarkEnd w:id="10"/>
      <w:bookmarkEnd w:id="11"/>
      <w:bookmarkEnd w:id="12"/>
      <w:bookmarkEnd w:id="13"/>
      <w:bookmarkEnd w:id="14"/>
      <w:bookmarkEnd w:id="15"/>
      <w:bookmarkEnd w:id="16"/>
      <w:bookmarkEnd w:id="17"/>
    </w:p>
    <w:p w14:paraId="62EE0358" w14:textId="77777777" w:rsidR="00855133" w:rsidRDefault="00855133" w:rsidP="00A85378">
      <w:pPr>
        <w:jc w:val="both"/>
        <w:rPr>
          <w:rFonts w:cs="Calibri"/>
          <w:color w:val="000000"/>
        </w:rPr>
      </w:pPr>
    </w:p>
    <w:p w14:paraId="1A070D78" w14:textId="0E88787A" w:rsidR="009F53D0" w:rsidRDefault="00855133" w:rsidP="009F53D0">
      <w:pPr>
        <w:jc w:val="both"/>
        <w:rPr>
          <w:rFonts w:cs="Calibri"/>
          <w:color w:val="000000"/>
        </w:rPr>
      </w:pPr>
      <w:r w:rsidRPr="00556896">
        <w:rPr>
          <w:rFonts w:cs="Calibri"/>
          <w:b/>
          <w:bCs/>
          <w:color w:val="000000"/>
          <w:sz w:val="28"/>
          <w:szCs w:val="28"/>
        </w:rPr>
        <w:lastRenderedPageBreak/>
        <w:t>La situation de décaissement</w:t>
      </w:r>
      <w:r w:rsidRPr="00556896">
        <w:rPr>
          <w:rFonts w:cs="Calibri"/>
          <w:color w:val="000000"/>
          <w:sz w:val="28"/>
          <w:szCs w:val="28"/>
        </w:rPr>
        <w:t xml:space="preserve"> </w:t>
      </w:r>
      <w:r>
        <w:rPr>
          <w:rFonts w:cs="Calibri"/>
          <w:color w:val="000000"/>
        </w:rPr>
        <w:t xml:space="preserve">est présentée sous la forme d’un tableau  (tableau 1) consacré à l’ensemble des </w:t>
      </w:r>
      <w:r w:rsidR="009F53D0">
        <w:rPr>
          <w:rFonts w:cs="Calibri"/>
          <w:color w:val="000000"/>
        </w:rPr>
        <w:t>Indicateurs de décaissement,  leurs d</w:t>
      </w:r>
      <w:r w:rsidR="009F53D0" w:rsidRPr="009F53D0">
        <w:rPr>
          <w:rFonts w:cs="Calibri"/>
          <w:color w:val="000000"/>
        </w:rPr>
        <w:t>otation</w:t>
      </w:r>
      <w:r w:rsidR="009F53D0">
        <w:rPr>
          <w:rFonts w:cs="Calibri"/>
          <w:color w:val="000000"/>
        </w:rPr>
        <w:t>s</w:t>
      </w:r>
      <w:r w:rsidR="00696EA7">
        <w:rPr>
          <w:rFonts w:cs="Calibri"/>
          <w:color w:val="000000"/>
        </w:rPr>
        <w:t xml:space="preserve"> </w:t>
      </w:r>
      <w:r w:rsidR="009F53D0" w:rsidRPr="009F53D0">
        <w:rPr>
          <w:rFonts w:cs="Calibri"/>
          <w:color w:val="000000"/>
        </w:rPr>
        <w:t>en Eur</w:t>
      </w:r>
      <w:r w:rsidR="00696EA7">
        <w:rPr>
          <w:rFonts w:cs="Calibri"/>
          <w:color w:val="000000"/>
        </w:rPr>
        <w:t>o</w:t>
      </w:r>
      <w:r w:rsidR="009F53D0">
        <w:rPr>
          <w:rFonts w:cs="Calibri"/>
          <w:color w:val="000000"/>
        </w:rPr>
        <w:t>, le t</w:t>
      </w:r>
      <w:r w:rsidR="009F53D0" w:rsidRPr="009F53D0">
        <w:rPr>
          <w:rFonts w:cs="Calibri"/>
          <w:color w:val="000000"/>
        </w:rPr>
        <w:t>otal réalis</w:t>
      </w:r>
      <w:r w:rsidR="009F53D0">
        <w:rPr>
          <w:rFonts w:cs="Calibri"/>
          <w:color w:val="000000"/>
        </w:rPr>
        <w:t xml:space="preserve">é et le </w:t>
      </w:r>
      <w:r w:rsidR="009F53D0" w:rsidRPr="009F53D0">
        <w:rPr>
          <w:rFonts w:cs="Calibri"/>
          <w:color w:val="000000"/>
        </w:rPr>
        <w:t xml:space="preserve">% </w:t>
      </w:r>
      <w:r w:rsidR="009F53D0">
        <w:rPr>
          <w:rFonts w:cs="Calibri"/>
          <w:color w:val="000000"/>
        </w:rPr>
        <w:t>de r</w:t>
      </w:r>
      <w:r w:rsidR="009F53D0" w:rsidRPr="009F53D0">
        <w:rPr>
          <w:rFonts w:cs="Calibri"/>
          <w:color w:val="000000"/>
        </w:rPr>
        <w:t>éalisations</w:t>
      </w:r>
      <w:r w:rsidR="009F53D0">
        <w:rPr>
          <w:rFonts w:cs="Calibri"/>
          <w:color w:val="000000"/>
        </w:rPr>
        <w:t xml:space="preserve"> et s</w:t>
      </w:r>
      <w:r w:rsidR="009F53D0" w:rsidRPr="009F53D0">
        <w:rPr>
          <w:rFonts w:cs="Calibri"/>
          <w:color w:val="000000"/>
        </w:rPr>
        <w:t>olde au 06/06/2022</w:t>
      </w:r>
      <w:r w:rsidR="009F53D0">
        <w:rPr>
          <w:rFonts w:cs="Calibri"/>
          <w:color w:val="000000"/>
        </w:rPr>
        <w:t>.</w:t>
      </w:r>
    </w:p>
    <w:p w14:paraId="248295BF" w14:textId="77777777" w:rsidR="00E1705A" w:rsidRPr="009F53D0" w:rsidRDefault="00E1705A" w:rsidP="009F53D0">
      <w:pPr>
        <w:jc w:val="both"/>
        <w:rPr>
          <w:rFonts w:cs="Calibri"/>
          <w:color w:val="000000"/>
        </w:rPr>
      </w:pPr>
    </w:p>
    <w:p w14:paraId="09D8473B" w14:textId="77777777" w:rsidR="00696EA7" w:rsidRDefault="00696EA7" w:rsidP="00556896">
      <w:pPr>
        <w:spacing w:after="120"/>
        <w:jc w:val="both"/>
        <w:rPr>
          <w:rFonts w:cs="Calibri"/>
          <w:b/>
          <w:bCs/>
          <w:color w:val="000000"/>
        </w:rPr>
        <w:sectPr w:rsidR="00696EA7" w:rsidSect="00BF13A3">
          <w:footerReference w:type="default" r:id="rId11"/>
          <w:footerReference w:type="first" r:id="rId12"/>
          <w:pgSz w:w="11900" w:h="16840"/>
          <w:pgMar w:top="1417" w:right="1417" w:bottom="1417" w:left="1417" w:header="708" w:footer="708" w:gutter="0"/>
          <w:pgNumType w:start="0"/>
          <w:cols w:space="708"/>
          <w:titlePg/>
          <w:docGrid w:linePitch="360"/>
        </w:sectPr>
      </w:pPr>
    </w:p>
    <w:p w14:paraId="4551E2D0" w14:textId="379E7E44" w:rsidR="00A2524B" w:rsidRDefault="00A2524B" w:rsidP="00556896">
      <w:pPr>
        <w:spacing w:after="120"/>
        <w:jc w:val="both"/>
        <w:rPr>
          <w:rFonts w:cs="Calibri"/>
          <w:b/>
          <w:bCs/>
          <w:color w:val="000000"/>
        </w:rPr>
      </w:pPr>
      <w:r>
        <w:rPr>
          <w:rFonts w:cs="Calibri"/>
          <w:b/>
          <w:bCs/>
          <w:color w:val="000000"/>
        </w:rPr>
        <w:lastRenderedPageBreak/>
        <w:t xml:space="preserve">Tableau 1 : </w:t>
      </w:r>
      <w:r w:rsidRPr="009F53D0">
        <w:rPr>
          <w:rFonts w:cs="Calibri"/>
          <w:b/>
          <w:bCs/>
          <w:color w:val="000000"/>
        </w:rPr>
        <w:t>situation de décaissement</w:t>
      </w:r>
      <w:r w:rsidR="00377C32">
        <w:rPr>
          <w:rFonts w:cs="Calibri"/>
          <w:b/>
          <w:bCs/>
          <w:color w:val="000000"/>
        </w:rPr>
        <w:t xml:space="preserve"> / Niveau d’atteinte des ILD</w:t>
      </w:r>
    </w:p>
    <w:tbl>
      <w:tblPr>
        <w:tblW w:w="5376" w:type="pct"/>
        <w:tblInd w:w="-131" w:type="dxa"/>
        <w:tblLayout w:type="fixed"/>
        <w:tblCellMar>
          <w:left w:w="70" w:type="dxa"/>
          <w:right w:w="70" w:type="dxa"/>
        </w:tblCellMar>
        <w:tblLook w:val="04A0" w:firstRow="1" w:lastRow="0" w:firstColumn="1" w:lastColumn="0" w:noHBand="0" w:noVBand="1"/>
      </w:tblPr>
      <w:tblGrid>
        <w:gridCol w:w="2156"/>
        <w:gridCol w:w="5709"/>
        <w:gridCol w:w="2191"/>
        <w:gridCol w:w="1905"/>
        <w:gridCol w:w="15"/>
        <w:gridCol w:w="1378"/>
        <w:gridCol w:w="1682"/>
        <w:gridCol w:w="12"/>
      </w:tblGrid>
      <w:tr w:rsidR="00A2524B" w:rsidRPr="00070B38" w14:paraId="34058E85" w14:textId="77777777" w:rsidTr="004D7895">
        <w:trPr>
          <w:gridAfter w:val="1"/>
          <w:wAfter w:w="4" w:type="pct"/>
          <w:trHeight w:val="450"/>
        </w:trPr>
        <w:tc>
          <w:tcPr>
            <w:tcW w:w="261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977B1" w14:textId="77777777" w:rsidR="00A2524B" w:rsidRPr="00070B38" w:rsidRDefault="00A2524B" w:rsidP="002B5E84">
            <w:pPr>
              <w:rPr>
                <w:rFonts w:ascii="Calibri" w:eastAsia="Times New Roman" w:hAnsi="Calibri" w:cs="Calibri"/>
                <w:b/>
                <w:bCs/>
                <w:color w:val="000000"/>
                <w:lang w:eastAsia="fr-FR"/>
              </w:rPr>
            </w:pPr>
            <w:r w:rsidRPr="00070B38">
              <w:rPr>
                <w:rFonts w:ascii="Calibri" w:eastAsia="Times New Roman" w:hAnsi="Calibri" w:cs="Calibri"/>
                <w:b/>
                <w:bCs/>
                <w:color w:val="000000"/>
                <w:lang w:eastAsia="fr-FR"/>
              </w:rPr>
              <w:t>Indicateurs</w:t>
            </w:r>
          </w:p>
        </w:tc>
        <w:tc>
          <w:tcPr>
            <w:tcW w:w="728" w:type="pct"/>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143187BD" w14:textId="77777777" w:rsidR="00A2524B" w:rsidRPr="00070B38" w:rsidRDefault="00A2524B" w:rsidP="002B5E84">
            <w:pPr>
              <w:rPr>
                <w:rFonts w:ascii="Calibri" w:eastAsia="Times New Roman" w:hAnsi="Calibri" w:cs="Calibri"/>
                <w:b/>
                <w:bCs/>
                <w:color w:val="000000"/>
                <w:lang w:eastAsia="fr-FR"/>
              </w:rPr>
            </w:pPr>
            <w:r w:rsidRPr="00070B38">
              <w:rPr>
                <w:rFonts w:ascii="Calibri" w:eastAsia="Times New Roman" w:hAnsi="Calibri" w:cs="Calibri"/>
                <w:b/>
                <w:bCs/>
                <w:color w:val="000000"/>
                <w:lang w:eastAsia="fr-FR"/>
              </w:rPr>
              <w:t>Dotation en Euro</w:t>
            </w:r>
          </w:p>
        </w:tc>
        <w:tc>
          <w:tcPr>
            <w:tcW w:w="633" w:type="pct"/>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4B31073F" w14:textId="77777777" w:rsidR="00A2524B" w:rsidRPr="00070B38" w:rsidRDefault="00A2524B" w:rsidP="002B5E84">
            <w:pPr>
              <w:rPr>
                <w:rFonts w:ascii="Calibri" w:eastAsia="Times New Roman" w:hAnsi="Calibri" w:cs="Calibri"/>
                <w:b/>
                <w:bCs/>
                <w:color w:val="000000"/>
                <w:lang w:eastAsia="fr-FR"/>
              </w:rPr>
            </w:pPr>
            <w:r w:rsidRPr="00070B38">
              <w:rPr>
                <w:rFonts w:ascii="Calibri" w:eastAsia="Times New Roman" w:hAnsi="Calibri" w:cs="Calibri"/>
                <w:b/>
                <w:bCs/>
                <w:color w:val="000000"/>
                <w:lang w:eastAsia="fr-FR"/>
              </w:rPr>
              <w:t>Total réalisation</w:t>
            </w:r>
          </w:p>
        </w:tc>
        <w:tc>
          <w:tcPr>
            <w:tcW w:w="463" w:type="pct"/>
            <w:gridSpan w:val="2"/>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32EFCE75" w14:textId="77777777" w:rsidR="00A2524B" w:rsidRPr="00070B38" w:rsidRDefault="00A2524B" w:rsidP="002B5E84">
            <w:pPr>
              <w:jc w:val="center"/>
              <w:rPr>
                <w:rFonts w:ascii="Calibri" w:eastAsia="Times New Roman" w:hAnsi="Calibri" w:cs="Calibri"/>
                <w:b/>
                <w:bCs/>
                <w:color w:val="000000"/>
                <w:lang w:eastAsia="fr-FR"/>
              </w:rPr>
            </w:pPr>
            <w:r w:rsidRPr="00070B38">
              <w:rPr>
                <w:rFonts w:ascii="Calibri" w:eastAsia="Times New Roman" w:hAnsi="Calibri" w:cs="Calibri"/>
                <w:b/>
                <w:bCs/>
                <w:color w:val="000000"/>
                <w:lang w:eastAsia="fr-FR"/>
              </w:rPr>
              <w:t>% Réalisations</w:t>
            </w:r>
          </w:p>
        </w:tc>
        <w:tc>
          <w:tcPr>
            <w:tcW w:w="559" w:type="pct"/>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34D03ECA" w14:textId="77777777" w:rsidR="00A2524B" w:rsidRPr="00070B38" w:rsidRDefault="00A2524B" w:rsidP="002B5E84">
            <w:pPr>
              <w:jc w:val="center"/>
              <w:rPr>
                <w:rFonts w:ascii="Calibri" w:eastAsia="Times New Roman" w:hAnsi="Calibri" w:cs="Calibri"/>
                <w:b/>
                <w:bCs/>
                <w:color w:val="000000"/>
                <w:lang w:eastAsia="fr-FR"/>
              </w:rPr>
            </w:pPr>
            <w:r w:rsidRPr="00070B38">
              <w:rPr>
                <w:rFonts w:ascii="Calibri" w:eastAsia="Times New Roman" w:hAnsi="Calibri" w:cs="Calibri"/>
                <w:b/>
                <w:bCs/>
                <w:color w:val="000000"/>
                <w:lang w:eastAsia="fr-FR"/>
              </w:rPr>
              <w:t>Solde au 06/06/2022</w:t>
            </w:r>
          </w:p>
        </w:tc>
      </w:tr>
      <w:tr w:rsidR="00A2524B" w:rsidRPr="00070B38" w14:paraId="6BAC0C02" w14:textId="77777777" w:rsidTr="004D7895">
        <w:trPr>
          <w:gridAfter w:val="1"/>
          <w:wAfter w:w="4" w:type="pct"/>
          <w:trHeight w:val="648"/>
        </w:trPr>
        <w:tc>
          <w:tcPr>
            <w:tcW w:w="2613" w:type="pct"/>
            <w:gridSpan w:val="2"/>
            <w:vMerge/>
            <w:tcBorders>
              <w:top w:val="single" w:sz="4" w:space="0" w:color="000000"/>
              <w:left w:val="single" w:sz="4" w:space="0" w:color="000000"/>
              <w:bottom w:val="single" w:sz="4" w:space="0" w:color="000000"/>
              <w:right w:val="single" w:sz="4" w:space="0" w:color="000000"/>
            </w:tcBorders>
            <w:vAlign w:val="center"/>
            <w:hideMark/>
          </w:tcPr>
          <w:p w14:paraId="54395490" w14:textId="77777777" w:rsidR="00A2524B" w:rsidRPr="00070B38" w:rsidRDefault="00A2524B" w:rsidP="002B5E84">
            <w:pPr>
              <w:rPr>
                <w:rFonts w:ascii="Calibri" w:eastAsia="Times New Roman" w:hAnsi="Calibri" w:cs="Calibri"/>
                <w:b/>
                <w:bCs/>
                <w:color w:val="000000"/>
                <w:lang w:eastAsia="fr-FR"/>
              </w:rPr>
            </w:pPr>
          </w:p>
        </w:tc>
        <w:tc>
          <w:tcPr>
            <w:tcW w:w="728" w:type="pct"/>
            <w:vMerge/>
            <w:tcBorders>
              <w:top w:val="single" w:sz="4" w:space="0" w:color="auto"/>
              <w:left w:val="single" w:sz="4" w:space="0" w:color="auto"/>
              <w:bottom w:val="single" w:sz="4" w:space="0" w:color="000000"/>
              <w:right w:val="single" w:sz="4" w:space="0" w:color="auto"/>
            </w:tcBorders>
            <w:vAlign w:val="center"/>
            <w:hideMark/>
          </w:tcPr>
          <w:p w14:paraId="366E06C2" w14:textId="77777777" w:rsidR="00A2524B" w:rsidRPr="00070B38" w:rsidRDefault="00A2524B" w:rsidP="002B5E84">
            <w:pPr>
              <w:rPr>
                <w:rFonts w:ascii="Calibri" w:eastAsia="Times New Roman" w:hAnsi="Calibri" w:cs="Calibri"/>
                <w:b/>
                <w:bCs/>
                <w:color w:val="000000"/>
                <w:lang w:eastAsia="fr-FR"/>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36061047" w14:textId="77777777" w:rsidR="00A2524B" w:rsidRPr="00070B38" w:rsidRDefault="00A2524B" w:rsidP="002B5E84">
            <w:pPr>
              <w:rPr>
                <w:rFonts w:ascii="Calibri" w:eastAsia="Times New Roman" w:hAnsi="Calibri" w:cs="Calibri"/>
                <w:b/>
                <w:bCs/>
                <w:color w:val="000000"/>
                <w:lang w:eastAsia="fr-FR"/>
              </w:rPr>
            </w:pPr>
          </w:p>
        </w:tc>
        <w:tc>
          <w:tcPr>
            <w:tcW w:w="463" w:type="pct"/>
            <w:gridSpan w:val="2"/>
            <w:vMerge/>
            <w:tcBorders>
              <w:top w:val="single" w:sz="4" w:space="0" w:color="auto"/>
              <w:left w:val="single" w:sz="4" w:space="0" w:color="auto"/>
              <w:bottom w:val="single" w:sz="4" w:space="0" w:color="000000"/>
              <w:right w:val="single" w:sz="4" w:space="0" w:color="auto"/>
            </w:tcBorders>
            <w:vAlign w:val="center"/>
            <w:hideMark/>
          </w:tcPr>
          <w:p w14:paraId="21AB386E" w14:textId="77777777" w:rsidR="00A2524B" w:rsidRPr="00070B38" w:rsidRDefault="00A2524B" w:rsidP="002B5E84">
            <w:pPr>
              <w:rPr>
                <w:rFonts w:ascii="Calibri" w:eastAsia="Times New Roman" w:hAnsi="Calibri" w:cs="Calibri"/>
                <w:b/>
                <w:bCs/>
                <w:color w:val="000000"/>
                <w:lang w:eastAsia="fr-FR"/>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14:paraId="40A0961F" w14:textId="77777777" w:rsidR="00A2524B" w:rsidRPr="00070B38" w:rsidRDefault="00A2524B" w:rsidP="002B5E84">
            <w:pPr>
              <w:rPr>
                <w:rFonts w:ascii="Calibri" w:eastAsia="Times New Roman" w:hAnsi="Calibri" w:cs="Calibri"/>
                <w:b/>
                <w:bCs/>
                <w:color w:val="000000"/>
                <w:lang w:eastAsia="fr-FR"/>
              </w:rPr>
            </w:pPr>
          </w:p>
        </w:tc>
      </w:tr>
      <w:tr w:rsidR="00556896" w:rsidRPr="00070B38" w14:paraId="1AC264E3" w14:textId="77777777" w:rsidTr="00556896">
        <w:trPr>
          <w:trHeight w:val="319"/>
        </w:trPr>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14:paraId="4255A662"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ILD1: Préparation institutionnelle</w:t>
            </w:r>
          </w:p>
        </w:tc>
        <w:tc>
          <w:tcPr>
            <w:tcW w:w="1896" w:type="pct"/>
            <w:tcBorders>
              <w:top w:val="single" w:sz="8" w:space="0" w:color="auto"/>
              <w:left w:val="nil"/>
              <w:bottom w:val="single" w:sz="4" w:space="0" w:color="auto"/>
              <w:right w:val="single" w:sz="4" w:space="0" w:color="auto"/>
            </w:tcBorders>
            <w:shd w:val="clear" w:color="000000" w:fill="C6E0B4"/>
            <w:noWrap/>
            <w:vAlign w:val="bottom"/>
            <w:hideMark/>
          </w:tcPr>
          <w:p w14:paraId="6ADCC89A"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RLD1.1:Préparation de Base</w:t>
            </w:r>
          </w:p>
        </w:tc>
        <w:tc>
          <w:tcPr>
            <w:tcW w:w="728" w:type="pct"/>
            <w:tcBorders>
              <w:top w:val="nil"/>
              <w:left w:val="nil"/>
              <w:bottom w:val="single" w:sz="4" w:space="0" w:color="auto"/>
              <w:right w:val="single" w:sz="4" w:space="0" w:color="auto"/>
            </w:tcBorders>
            <w:shd w:val="clear" w:color="000000" w:fill="C6E0B4"/>
            <w:vAlign w:val="center"/>
            <w:hideMark/>
          </w:tcPr>
          <w:p w14:paraId="3308B55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297 000</w:t>
            </w:r>
          </w:p>
        </w:tc>
        <w:tc>
          <w:tcPr>
            <w:tcW w:w="638" w:type="pct"/>
            <w:gridSpan w:val="2"/>
            <w:tcBorders>
              <w:top w:val="nil"/>
              <w:left w:val="nil"/>
              <w:bottom w:val="single" w:sz="4" w:space="0" w:color="auto"/>
              <w:right w:val="single" w:sz="4" w:space="0" w:color="auto"/>
            </w:tcBorders>
            <w:shd w:val="clear" w:color="000000" w:fill="C6E0B4"/>
            <w:vAlign w:val="center"/>
            <w:hideMark/>
          </w:tcPr>
          <w:p w14:paraId="70213B3E"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297 000</w:t>
            </w:r>
          </w:p>
        </w:tc>
        <w:tc>
          <w:tcPr>
            <w:tcW w:w="458" w:type="pct"/>
            <w:tcBorders>
              <w:top w:val="nil"/>
              <w:left w:val="nil"/>
              <w:bottom w:val="nil"/>
              <w:right w:val="single" w:sz="4" w:space="0" w:color="auto"/>
            </w:tcBorders>
            <w:shd w:val="clear" w:color="000000" w:fill="C6E0B4"/>
            <w:vAlign w:val="center"/>
            <w:hideMark/>
          </w:tcPr>
          <w:p w14:paraId="45EAB0A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100%</w:t>
            </w:r>
          </w:p>
        </w:tc>
        <w:tc>
          <w:tcPr>
            <w:tcW w:w="563" w:type="pct"/>
            <w:gridSpan w:val="2"/>
            <w:tcBorders>
              <w:top w:val="nil"/>
              <w:left w:val="nil"/>
              <w:bottom w:val="nil"/>
              <w:right w:val="single" w:sz="4" w:space="0" w:color="auto"/>
            </w:tcBorders>
            <w:shd w:val="clear" w:color="000000" w:fill="C6E0B4"/>
            <w:vAlign w:val="bottom"/>
            <w:hideMark/>
          </w:tcPr>
          <w:p w14:paraId="5788160A"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r>
      <w:tr w:rsidR="00556896" w:rsidRPr="00070B38" w14:paraId="1E559A92" w14:textId="77777777" w:rsidTr="00556896">
        <w:trPr>
          <w:trHeight w:val="329"/>
        </w:trPr>
        <w:tc>
          <w:tcPr>
            <w:tcW w:w="716" w:type="pct"/>
            <w:vMerge/>
            <w:tcBorders>
              <w:top w:val="nil"/>
              <w:left w:val="single" w:sz="4" w:space="0" w:color="auto"/>
              <w:bottom w:val="single" w:sz="4" w:space="0" w:color="000000"/>
              <w:right w:val="single" w:sz="4" w:space="0" w:color="auto"/>
            </w:tcBorders>
            <w:vAlign w:val="center"/>
            <w:hideMark/>
          </w:tcPr>
          <w:p w14:paraId="2EA5177B"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8" w:space="0" w:color="auto"/>
              <w:right w:val="single" w:sz="4" w:space="0" w:color="auto"/>
            </w:tcBorders>
            <w:shd w:val="clear" w:color="000000" w:fill="C6E0B4"/>
            <w:noWrap/>
            <w:vAlign w:val="bottom"/>
            <w:hideMark/>
          </w:tcPr>
          <w:p w14:paraId="0E829A4F"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RLD1.2: Préparation complète</w:t>
            </w:r>
          </w:p>
        </w:tc>
        <w:tc>
          <w:tcPr>
            <w:tcW w:w="728" w:type="pct"/>
            <w:tcBorders>
              <w:top w:val="nil"/>
              <w:left w:val="nil"/>
              <w:bottom w:val="single" w:sz="4" w:space="0" w:color="auto"/>
              <w:right w:val="single" w:sz="4" w:space="0" w:color="auto"/>
            </w:tcBorders>
            <w:shd w:val="clear" w:color="000000" w:fill="C6E0B4"/>
            <w:vAlign w:val="center"/>
            <w:hideMark/>
          </w:tcPr>
          <w:p w14:paraId="43668D4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297 000</w:t>
            </w:r>
          </w:p>
        </w:tc>
        <w:tc>
          <w:tcPr>
            <w:tcW w:w="638" w:type="pct"/>
            <w:gridSpan w:val="2"/>
            <w:tcBorders>
              <w:top w:val="nil"/>
              <w:left w:val="nil"/>
              <w:bottom w:val="single" w:sz="4" w:space="0" w:color="auto"/>
              <w:right w:val="single" w:sz="4" w:space="0" w:color="auto"/>
            </w:tcBorders>
            <w:shd w:val="clear" w:color="000000" w:fill="C6E0B4"/>
            <w:vAlign w:val="center"/>
            <w:hideMark/>
          </w:tcPr>
          <w:p w14:paraId="5045FE8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297 000</w:t>
            </w:r>
          </w:p>
        </w:tc>
        <w:tc>
          <w:tcPr>
            <w:tcW w:w="458" w:type="pct"/>
            <w:tcBorders>
              <w:top w:val="single" w:sz="4" w:space="0" w:color="auto"/>
              <w:left w:val="nil"/>
              <w:bottom w:val="nil"/>
              <w:right w:val="single" w:sz="4" w:space="0" w:color="auto"/>
            </w:tcBorders>
            <w:shd w:val="clear" w:color="000000" w:fill="C6E0B4"/>
            <w:vAlign w:val="center"/>
            <w:hideMark/>
          </w:tcPr>
          <w:p w14:paraId="28429447"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100%</w:t>
            </w:r>
          </w:p>
        </w:tc>
        <w:tc>
          <w:tcPr>
            <w:tcW w:w="563" w:type="pct"/>
            <w:gridSpan w:val="2"/>
            <w:tcBorders>
              <w:top w:val="single" w:sz="4" w:space="0" w:color="auto"/>
              <w:left w:val="nil"/>
              <w:bottom w:val="nil"/>
              <w:right w:val="single" w:sz="4" w:space="0" w:color="auto"/>
            </w:tcBorders>
            <w:shd w:val="clear" w:color="000000" w:fill="C6E0B4"/>
            <w:vAlign w:val="bottom"/>
            <w:hideMark/>
          </w:tcPr>
          <w:p w14:paraId="1D3F3EB6"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r>
      <w:tr w:rsidR="00556896" w:rsidRPr="00070B38" w14:paraId="6B5EB931" w14:textId="77777777" w:rsidTr="00556896">
        <w:trPr>
          <w:trHeight w:val="648"/>
        </w:trPr>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14:paraId="55178D55"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ILD2: Impact sur le développement</w:t>
            </w:r>
          </w:p>
        </w:tc>
        <w:tc>
          <w:tcPr>
            <w:tcW w:w="1896" w:type="pct"/>
            <w:tcBorders>
              <w:top w:val="nil"/>
              <w:left w:val="nil"/>
              <w:bottom w:val="single" w:sz="4" w:space="0" w:color="auto"/>
              <w:right w:val="single" w:sz="4" w:space="0" w:color="auto"/>
            </w:tcBorders>
            <w:shd w:val="clear" w:color="000000" w:fill="FFE699"/>
            <w:vAlign w:val="bottom"/>
            <w:hideMark/>
          </w:tcPr>
          <w:p w14:paraId="0395DBDC"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RLD2.1:Évaluation externe indépendante progression vers l'impact</w:t>
            </w:r>
          </w:p>
        </w:tc>
        <w:tc>
          <w:tcPr>
            <w:tcW w:w="728" w:type="pct"/>
            <w:tcBorders>
              <w:top w:val="nil"/>
              <w:left w:val="nil"/>
              <w:bottom w:val="single" w:sz="4" w:space="0" w:color="auto"/>
              <w:right w:val="single" w:sz="4" w:space="0" w:color="auto"/>
            </w:tcBorders>
            <w:shd w:val="clear" w:color="auto" w:fill="auto"/>
            <w:vAlign w:val="center"/>
            <w:hideMark/>
          </w:tcPr>
          <w:p w14:paraId="27204291"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1BA67EA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5D54CB0A"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18FE35B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r>
      <w:tr w:rsidR="00556896" w:rsidRPr="00070B38" w14:paraId="1BA37FC1" w14:textId="77777777" w:rsidTr="00556896">
        <w:trPr>
          <w:trHeight w:val="648"/>
        </w:trPr>
        <w:tc>
          <w:tcPr>
            <w:tcW w:w="716" w:type="pct"/>
            <w:vMerge/>
            <w:tcBorders>
              <w:top w:val="nil"/>
              <w:left w:val="single" w:sz="4" w:space="0" w:color="auto"/>
              <w:bottom w:val="single" w:sz="4" w:space="0" w:color="000000"/>
              <w:right w:val="single" w:sz="4" w:space="0" w:color="auto"/>
            </w:tcBorders>
            <w:vAlign w:val="center"/>
            <w:hideMark/>
          </w:tcPr>
          <w:p w14:paraId="2BF36A3D" w14:textId="77777777" w:rsidR="00A2524B" w:rsidRPr="00070B38" w:rsidRDefault="00A2524B" w:rsidP="002B5E84">
            <w:pPr>
              <w:rPr>
                <w:rFonts w:ascii="Calibri" w:eastAsia="Times New Roman" w:hAnsi="Calibri" w:cs="Calibri"/>
                <w:color w:val="000000"/>
                <w:lang w:eastAsia="fr-FR"/>
              </w:rPr>
            </w:pPr>
          </w:p>
        </w:tc>
        <w:tc>
          <w:tcPr>
            <w:tcW w:w="1896" w:type="pct"/>
            <w:tcBorders>
              <w:top w:val="single" w:sz="8" w:space="0" w:color="auto"/>
              <w:left w:val="nil"/>
              <w:bottom w:val="single" w:sz="4" w:space="0" w:color="auto"/>
              <w:right w:val="single" w:sz="4" w:space="0" w:color="auto"/>
            </w:tcBorders>
            <w:shd w:val="clear" w:color="000000" w:fill="FFE699"/>
            <w:vAlign w:val="bottom"/>
            <w:hideMark/>
          </w:tcPr>
          <w:p w14:paraId="343F6D1E"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xml:space="preserve">RLD2.2:Évaluation externe indépendante du développement de l'impact </w:t>
            </w:r>
          </w:p>
        </w:tc>
        <w:tc>
          <w:tcPr>
            <w:tcW w:w="728" w:type="pct"/>
            <w:tcBorders>
              <w:top w:val="nil"/>
              <w:left w:val="nil"/>
              <w:bottom w:val="single" w:sz="4" w:space="0" w:color="auto"/>
              <w:right w:val="single" w:sz="4" w:space="0" w:color="auto"/>
            </w:tcBorders>
            <w:shd w:val="clear" w:color="auto" w:fill="auto"/>
            <w:vAlign w:val="center"/>
            <w:hideMark/>
          </w:tcPr>
          <w:p w14:paraId="0049F244"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2FDFD06E"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384BC881"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4E57DC1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r>
      <w:tr w:rsidR="00556896" w:rsidRPr="00070B38" w14:paraId="1B254D13" w14:textId="77777777" w:rsidTr="00556896">
        <w:trPr>
          <w:trHeight w:val="401"/>
        </w:trPr>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14:paraId="6A68CC54"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ILD3: Nombre d'étudiants inscrits</w:t>
            </w:r>
          </w:p>
        </w:tc>
        <w:tc>
          <w:tcPr>
            <w:tcW w:w="1896" w:type="pct"/>
            <w:tcBorders>
              <w:top w:val="single" w:sz="8" w:space="0" w:color="auto"/>
              <w:left w:val="nil"/>
              <w:bottom w:val="single" w:sz="4" w:space="0" w:color="auto"/>
              <w:right w:val="single" w:sz="4" w:space="0" w:color="auto"/>
            </w:tcBorders>
            <w:shd w:val="clear" w:color="000000" w:fill="C6E0B4"/>
            <w:vAlign w:val="bottom"/>
            <w:hideMark/>
          </w:tcPr>
          <w:p w14:paraId="51739BB7"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RLD3.1: Nouveaux étudiants doctorants éligibles</w:t>
            </w:r>
          </w:p>
        </w:tc>
        <w:tc>
          <w:tcPr>
            <w:tcW w:w="728" w:type="pct"/>
            <w:tcBorders>
              <w:top w:val="nil"/>
              <w:left w:val="nil"/>
              <w:bottom w:val="single" w:sz="4" w:space="0" w:color="auto"/>
              <w:right w:val="single" w:sz="4" w:space="0" w:color="auto"/>
            </w:tcBorders>
            <w:shd w:val="clear" w:color="000000" w:fill="C6E0B4"/>
            <w:vAlign w:val="center"/>
            <w:hideMark/>
          </w:tcPr>
          <w:p w14:paraId="5B29963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336 219</w:t>
            </w:r>
          </w:p>
        </w:tc>
        <w:tc>
          <w:tcPr>
            <w:tcW w:w="638" w:type="pct"/>
            <w:gridSpan w:val="2"/>
            <w:tcBorders>
              <w:top w:val="nil"/>
              <w:left w:val="nil"/>
              <w:bottom w:val="single" w:sz="4" w:space="0" w:color="auto"/>
              <w:right w:val="single" w:sz="4" w:space="0" w:color="auto"/>
            </w:tcBorders>
            <w:shd w:val="clear" w:color="000000" w:fill="C6E0B4"/>
            <w:vAlign w:val="center"/>
            <w:hideMark/>
          </w:tcPr>
          <w:p w14:paraId="6574BAE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336 219</w:t>
            </w:r>
          </w:p>
        </w:tc>
        <w:tc>
          <w:tcPr>
            <w:tcW w:w="458" w:type="pct"/>
            <w:tcBorders>
              <w:top w:val="single" w:sz="4" w:space="0" w:color="auto"/>
              <w:left w:val="nil"/>
              <w:bottom w:val="nil"/>
              <w:right w:val="single" w:sz="4" w:space="0" w:color="auto"/>
            </w:tcBorders>
            <w:shd w:val="clear" w:color="000000" w:fill="C6E0B4"/>
            <w:vAlign w:val="center"/>
            <w:hideMark/>
          </w:tcPr>
          <w:p w14:paraId="4A334AF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100%</w:t>
            </w:r>
          </w:p>
        </w:tc>
        <w:tc>
          <w:tcPr>
            <w:tcW w:w="563" w:type="pct"/>
            <w:gridSpan w:val="2"/>
            <w:tcBorders>
              <w:top w:val="single" w:sz="4" w:space="0" w:color="auto"/>
              <w:left w:val="nil"/>
              <w:bottom w:val="nil"/>
              <w:right w:val="single" w:sz="4" w:space="0" w:color="auto"/>
            </w:tcBorders>
            <w:shd w:val="clear" w:color="000000" w:fill="C6E0B4"/>
            <w:vAlign w:val="bottom"/>
            <w:hideMark/>
          </w:tcPr>
          <w:p w14:paraId="2CCEF8A3"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r>
      <w:tr w:rsidR="00556896" w:rsidRPr="00070B38" w14:paraId="624FE3F8" w14:textId="77777777" w:rsidTr="00556896">
        <w:trPr>
          <w:trHeight w:val="329"/>
        </w:trPr>
        <w:tc>
          <w:tcPr>
            <w:tcW w:w="716" w:type="pct"/>
            <w:vMerge/>
            <w:tcBorders>
              <w:top w:val="nil"/>
              <w:left w:val="single" w:sz="4" w:space="0" w:color="auto"/>
              <w:bottom w:val="single" w:sz="4" w:space="0" w:color="000000"/>
              <w:right w:val="single" w:sz="4" w:space="0" w:color="auto"/>
            </w:tcBorders>
            <w:vAlign w:val="center"/>
            <w:hideMark/>
          </w:tcPr>
          <w:p w14:paraId="010A8CCD" w14:textId="77777777" w:rsidR="00A2524B" w:rsidRPr="00070B38" w:rsidRDefault="00A2524B" w:rsidP="002B5E84">
            <w:pPr>
              <w:rPr>
                <w:rFonts w:ascii="Calibri" w:eastAsia="Times New Roman" w:hAnsi="Calibri" w:cs="Calibri"/>
                <w:color w:val="000000"/>
                <w:lang w:eastAsia="fr-FR"/>
              </w:rPr>
            </w:pPr>
          </w:p>
        </w:tc>
        <w:tc>
          <w:tcPr>
            <w:tcW w:w="1896" w:type="pct"/>
            <w:tcBorders>
              <w:top w:val="single" w:sz="8" w:space="0" w:color="auto"/>
              <w:left w:val="nil"/>
              <w:bottom w:val="single" w:sz="4" w:space="0" w:color="auto"/>
              <w:right w:val="single" w:sz="4" w:space="0" w:color="auto"/>
            </w:tcBorders>
            <w:shd w:val="clear" w:color="000000" w:fill="C6E0B4"/>
            <w:vAlign w:val="bottom"/>
            <w:hideMark/>
          </w:tcPr>
          <w:p w14:paraId="0CC83F1C"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RLD3.2: Nouveaux étudiants nationaux de Master éligibles</w:t>
            </w:r>
          </w:p>
        </w:tc>
        <w:tc>
          <w:tcPr>
            <w:tcW w:w="728" w:type="pct"/>
            <w:tcBorders>
              <w:top w:val="nil"/>
              <w:left w:val="nil"/>
              <w:bottom w:val="single" w:sz="4" w:space="0" w:color="auto"/>
              <w:right w:val="single" w:sz="4" w:space="0" w:color="auto"/>
            </w:tcBorders>
            <w:shd w:val="clear" w:color="000000" w:fill="C6E0B4"/>
            <w:vAlign w:val="center"/>
            <w:hideMark/>
          </w:tcPr>
          <w:p w14:paraId="7929D63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183 392</w:t>
            </w:r>
          </w:p>
        </w:tc>
        <w:tc>
          <w:tcPr>
            <w:tcW w:w="638" w:type="pct"/>
            <w:gridSpan w:val="2"/>
            <w:tcBorders>
              <w:top w:val="nil"/>
              <w:left w:val="nil"/>
              <w:bottom w:val="single" w:sz="4" w:space="0" w:color="auto"/>
              <w:right w:val="single" w:sz="4" w:space="0" w:color="auto"/>
            </w:tcBorders>
            <w:shd w:val="clear" w:color="000000" w:fill="C6E0B4"/>
            <w:vAlign w:val="center"/>
            <w:hideMark/>
          </w:tcPr>
          <w:p w14:paraId="550BAE1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183 392</w:t>
            </w:r>
          </w:p>
        </w:tc>
        <w:tc>
          <w:tcPr>
            <w:tcW w:w="458" w:type="pct"/>
            <w:tcBorders>
              <w:top w:val="single" w:sz="4" w:space="0" w:color="auto"/>
              <w:left w:val="nil"/>
              <w:bottom w:val="nil"/>
              <w:right w:val="single" w:sz="4" w:space="0" w:color="auto"/>
            </w:tcBorders>
            <w:shd w:val="clear" w:color="000000" w:fill="C6E0B4"/>
            <w:vAlign w:val="center"/>
            <w:hideMark/>
          </w:tcPr>
          <w:p w14:paraId="3C21BFAE"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100%</w:t>
            </w:r>
          </w:p>
        </w:tc>
        <w:tc>
          <w:tcPr>
            <w:tcW w:w="563" w:type="pct"/>
            <w:gridSpan w:val="2"/>
            <w:tcBorders>
              <w:top w:val="single" w:sz="4" w:space="0" w:color="auto"/>
              <w:left w:val="nil"/>
              <w:bottom w:val="nil"/>
              <w:right w:val="single" w:sz="4" w:space="0" w:color="auto"/>
            </w:tcBorders>
            <w:shd w:val="clear" w:color="000000" w:fill="C6E0B4"/>
            <w:vAlign w:val="bottom"/>
            <w:hideMark/>
          </w:tcPr>
          <w:p w14:paraId="75C35990"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r>
      <w:tr w:rsidR="00556896" w:rsidRPr="00070B38" w14:paraId="456CE506" w14:textId="77777777" w:rsidTr="00556896">
        <w:trPr>
          <w:trHeight w:val="638"/>
        </w:trPr>
        <w:tc>
          <w:tcPr>
            <w:tcW w:w="716" w:type="pct"/>
            <w:vMerge/>
            <w:tcBorders>
              <w:top w:val="nil"/>
              <w:left w:val="single" w:sz="4" w:space="0" w:color="auto"/>
              <w:bottom w:val="single" w:sz="4" w:space="0" w:color="000000"/>
              <w:right w:val="single" w:sz="4" w:space="0" w:color="auto"/>
            </w:tcBorders>
            <w:vAlign w:val="center"/>
            <w:hideMark/>
          </w:tcPr>
          <w:p w14:paraId="2DE98845" w14:textId="77777777" w:rsidR="00A2524B" w:rsidRPr="00070B38" w:rsidRDefault="00A2524B" w:rsidP="002B5E84">
            <w:pPr>
              <w:rPr>
                <w:rFonts w:ascii="Calibri" w:eastAsia="Times New Roman" w:hAnsi="Calibri" w:cs="Calibri"/>
                <w:color w:val="000000"/>
                <w:lang w:eastAsia="fr-FR"/>
              </w:rPr>
            </w:pPr>
          </w:p>
        </w:tc>
        <w:tc>
          <w:tcPr>
            <w:tcW w:w="1896" w:type="pct"/>
            <w:tcBorders>
              <w:top w:val="single" w:sz="8" w:space="0" w:color="auto"/>
              <w:left w:val="nil"/>
              <w:bottom w:val="single" w:sz="4" w:space="0" w:color="auto"/>
              <w:right w:val="single" w:sz="4" w:space="0" w:color="auto"/>
            </w:tcBorders>
            <w:shd w:val="clear" w:color="000000" w:fill="FFE699"/>
            <w:vAlign w:val="bottom"/>
            <w:hideMark/>
          </w:tcPr>
          <w:p w14:paraId="731D9D79"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xml:space="preserve">RLD3.3: Nouveaux étudiants nationaux en formation de courte durée éligibles </w:t>
            </w:r>
          </w:p>
        </w:tc>
        <w:tc>
          <w:tcPr>
            <w:tcW w:w="728" w:type="pct"/>
            <w:tcBorders>
              <w:top w:val="nil"/>
              <w:left w:val="nil"/>
              <w:bottom w:val="single" w:sz="4" w:space="0" w:color="auto"/>
              <w:right w:val="single" w:sz="4" w:space="0" w:color="auto"/>
            </w:tcBorders>
            <w:shd w:val="clear" w:color="auto" w:fill="auto"/>
            <w:vAlign w:val="center"/>
            <w:hideMark/>
          </w:tcPr>
          <w:p w14:paraId="522F2610"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67 244</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75D41E6F"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65A0745E"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579D37A7"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67 244</w:t>
            </w:r>
          </w:p>
        </w:tc>
      </w:tr>
      <w:tr w:rsidR="00556896" w:rsidRPr="00070B38" w14:paraId="7362164D" w14:textId="77777777" w:rsidTr="00556896">
        <w:trPr>
          <w:trHeight w:val="329"/>
        </w:trPr>
        <w:tc>
          <w:tcPr>
            <w:tcW w:w="716" w:type="pct"/>
            <w:vMerge/>
            <w:tcBorders>
              <w:top w:val="nil"/>
              <w:left w:val="single" w:sz="4" w:space="0" w:color="auto"/>
              <w:bottom w:val="single" w:sz="4" w:space="0" w:color="000000"/>
              <w:right w:val="single" w:sz="4" w:space="0" w:color="auto"/>
            </w:tcBorders>
            <w:vAlign w:val="center"/>
            <w:hideMark/>
          </w:tcPr>
          <w:p w14:paraId="7D9AEB78"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8" w:space="0" w:color="auto"/>
              <w:right w:val="single" w:sz="4" w:space="0" w:color="auto"/>
            </w:tcBorders>
            <w:shd w:val="clear" w:color="000000" w:fill="F8CBAD"/>
            <w:noWrap/>
            <w:vAlign w:val="bottom"/>
            <w:hideMark/>
          </w:tcPr>
          <w:p w14:paraId="3B48680F"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xml:space="preserve">RLD3.4: Nouveaux étudiants de premier degré: </w:t>
            </w:r>
            <w:r w:rsidRPr="00070B38">
              <w:rPr>
                <w:rFonts w:ascii="Arial" w:eastAsia="Times New Roman" w:hAnsi="Arial" w:cs="Arial"/>
                <w:b/>
                <w:bCs/>
                <w:color w:val="000000"/>
                <w:lang w:eastAsia="fr-FR"/>
              </w:rPr>
              <w:t>N/A</w:t>
            </w:r>
          </w:p>
        </w:tc>
        <w:tc>
          <w:tcPr>
            <w:tcW w:w="728" w:type="pct"/>
            <w:tcBorders>
              <w:top w:val="nil"/>
              <w:left w:val="nil"/>
              <w:bottom w:val="single" w:sz="4" w:space="0" w:color="auto"/>
              <w:right w:val="single" w:sz="4" w:space="0" w:color="auto"/>
            </w:tcBorders>
            <w:shd w:val="clear" w:color="000000" w:fill="F8CBAD"/>
            <w:vAlign w:val="center"/>
            <w:hideMark/>
          </w:tcPr>
          <w:p w14:paraId="63CCDEE4" w14:textId="77777777" w:rsidR="00A2524B" w:rsidRPr="00070B38" w:rsidRDefault="00A2524B" w:rsidP="002B5E84">
            <w:pPr>
              <w:jc w:val="right"/>
              <w:rPr>
                <w:rFonts w:ascii="Calibri" w:eastAsia="Times New Roman" w:hAnsi="Calibri" w:cs="Calibri"/>
                <w:color w:val="FF0000"/>
                <w:lang w:eastAsia="fr-FR"/>
              </w:rPr>
            </w:pPr>
            <w:r w:rsidRPr="00070B38">
              <w:rPr>
                <w:rFonts w:ascii="Calibri" w:eastAsia="Times New Roman" w:hAnsi="Calibri" w:cs="Calibri"/>
                <w:color w:val="FF0000"/>
                <w:lang w:eastAsia="fr-FR"/>
              </w:rPr>
              <w:t> </w:t>
            </w:r>
          </w:p>
        </w:tc>
        <w:tc>
          <w:tcPr>
            <w:tcW w:w="638" w:type="pct"/>
            <w:gridSpan w:val="2"/>
            <w:tcBorders>
              <w:top w:val="nil"/>
              <w:left w:val="nil"/>
              <w:bottom w:val="single" w:sz="4" w:space="0" w:color="auto"/>
              <w:right w:val="single" w:sz="4" w:space="0" w:color="auto"/>
            </w:tcBorders>
            <w:shd w:val="clear" w:color="000000" w:fill="F8CBAD"/>
            <w:vAlign w:val="center"/>
            <w:hideMark/>
          </w:tcPr>
          <w:p w14:paraId="458FA9B1"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000000" w:fill="F8CBAD"/>
            <w:vAlign w:val="center"/>
            <w:hideMark/>
          </w:tcPr>
          <w:p w14:paraId="336DD57A" w14:textId="77777777" w:rsidR="00A2524B" w:rsidRPr="00070B38" w:rsidRDefault="00A2524B" w:rsidP="002B5E84">
            <w:pPr>
              <w:jc w:val="center"/>
              <w:rPr>
                <w:rFonts w:ascii="Calibri" w:eastAsia="Times New Roman" w:hAnsi="Calibri" w:cs="Calibri"/>
                <w:color w:val="000000"/>
                <w:lang w:eastAsia="fr-FR"/>
              </w:rPr>
            </w:pPr>
            <w:r w:rsidRPr="00070B38">
              <w:rPr>
                <w:rFonts w:ascii="Calibri" w:eastAsia="Times New Roman" w:hAnsi="Calibri" w:cs="Calibri"/>
                <w:color w:val="000000"/>
                <w:lang w:eastAsia="fr-FR"/>
              </w:rPr>
              <w:t>#DIV/0!</w:t>
            </w:r>
          </w:p>
        </w:tc>
        <w:tc>
          <w:tcPr>
            <w:tcW w:w="563" w:type="pct"/>
            <w:gridSpan w:val="2"/>
            <w:tcBorders>
              <w:top w:val="single" w:sz="4" w:space="0" w:color="auto"/>
              <w:left w:val="nil"/>
              <w:bottom w:val="nil"/>
              <w:right w:val="single" w:sz="4" w:space="0" w:color="auto"/>
            </w:tcBorders>
            <w:shd w:val="clear" w:color="000000" w:fill="F8CBAD"/>
            <w:vAlign w:val="bottom"/>
            <w:hideMark/>
          </w:tcPr>
          <w:p w14:paraId="17A36B8F"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r>
      <w:tr w:rsidR="00556896" w:rsidRPr="00070B38" w14:paraId="27BA9924" w14:textId="77777777" w:rsidTr="00556896">
        <w:trPr>
          <w:trHeight w:val="319"/>
        </w:trPr>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14:paraId="14FE8182"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ILD4: Qualité de l'éducation et la recherche</w:t>
            </w:r>
          </w:p>
        </w:tc>
        <w:tc>
          <w:tcPr>
            <w:tcW w:w="1896" w:type="pct"/>
            <w:tcBorders>
              <w:top w:val="nil"/>
              <w:left w:val="nil"/>
              <w:bottom w:val="single" w:sz="4" w:space="0" w:color="auto"/>
              <w:right w:val="single" w:sz="4" w:space="0" w:color="auto"/>
            </w:tcBorders>
            <w:shd w:val="clear" w:color="000000" w:fill="FFE699"/>
            <w:noWrap/>
            <w:vAlign w:val="bottom"/>
            <w:hideMark/>
          </w:tcPr>
          <w:p w14:paraId="02BB23AF"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RLD4.1: Programme d'accréditation</w:t>
            </w:r>
          </w:p>
        </w:tc>
        <w:tc>
          <w:tcPr>
            <w:tcW w:w="728" w:type="pct"/>
            <w:tcBorders>
              <w:top w:val="nil"/>
              <w:left w:val="nil"/>
              <w:bottom w:val="single" w:sz="4" w:space="0" w:color="auto"/>
              <w:right w:val="single" w:sz="4" w:space="0" w:color="auto"/>
            </w:tcBorders>
            <w:shd w:val="clear" w:color="auto" w:fill="auto"/>
            <w:vAlign w:val="center"/>
            <w:hideMark/>
          </w:tcPr>
          <w:p w14:paraId="6054A0A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523 985</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29A4FE3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39B96E01"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19BDF707"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523 985</w:t>
            </w:r>
          </w:p>
        </w:tc>
      </w:tr>
      <w:tr w:rsidR="00556896" w:rsidRPr="00070B38" w14:paraId="56505AE7" w14:textId="77777777" w:rsidTr="00556896">
        <w:trPr>
          <w:trHeight w:val="319"/>
        </w:trPr>
        <w:tc>
          <w:tcPr>
            <w:tcW w:w="716" w:type="pct"/>
            <w:vMerge/>
            <w:tcBorders>
              <w:top w:val="nil"/>
              <w:left w:val="single" w:sz="4" w:space="0" w:color="auto"/>
              <w:bottom w:val="single" w:sz="4" w:space="0" w:color="000000"/>
              <w:right w:val="single" w:sz="4" w:space="0" w:color="auto"/>
            </w:tcBorders>
            <w:vAlign w:val="center"/>
            <w:hideMark/>
          </w:tcPr>
          <w:p w14:paraId="3C91CC80"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4" w:space="0" w:color="auto"/>
              <w:right w:val="single" w:sz="4" w:space="0" w:color="auto"/>
            </w:tcBorders>
            <w:shd w:val="clear" w:color="000000" w:fill="C6E0B4"/>
            <w:noWrap/>
            <w:vAlign w:val="bottom"/>
            <w:hideMark/>
          </w:tcPr>
          <w:p w14:paraId="405F1CD9"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RLD4.2: Publications de recherche</w:t>
            </w:r>
          </w:p>
        </w:tc>
        <w:tc>
          <w:tcPr>
            <w:tcW w:w="728" w:type="pct"/>
            <w:tcBorders>
              <w:top w:val="nil"/>
              <w:left w:val="nil"/>
              <w:bottom w:val="single" w:sz="4" w:space="0" w:color="auto"/>
              <w:right w:val="single" w:sz="4" w:space="0" w:color="auto"/>
            </w:tcBorders>
            <w:shd w:val="clear" w:color="000000" w:fill="C6E0B4"/>
            <w:vAlign w:val="center"/>
            <w:hideMark/>
          </w:tcPr>
          <w:p w14:paraId="1BE27C36"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327 490</w:t>
            </w:r>
          </w:p>
        </w:tc>
        <w:tc>
          <w:tcPr>
            <w:tcW w:w="638" w:type="pct"/>
            <w:gridSpan w:val="2"/>
            <w:tcBorders>
              <w:top w:val="nil"/>
              <w:left w:val="nil"/>
              <w:bottom w:val="single" w:sz="4" w:space="0" w:color="auto"/>
              <w:right w:val="single" w:sz="4" w:space="0" w:color="auto"/>
            </w:tcBorders>
            <w:shd w:val="clear" w:color="000000" w:fill="C6E0B4"/>
            <w:vAlign w:val="center"/>
            <w:hideMark/>
          </w:tcPr>
          <w:p w14:paraId="5AC3F31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327 490</w:t>
            </w:r>
          </w:p>
        </w:tc>
        <w:tc>
          <w:tcPr>
            <w:tcW w:w="458" w:type="pct"/>
            <w:tcBorders>
              <w:top w:val="single" w:sz="4" w:space="0" w:color="auto"/>
              <w:left w:val="nil"/>
              <w:bottom w:val="nil"/>
              <w:right w:val="single" w:sz="4" w:space="0" w:color="auto"/>
            </w:tcBorders>
            <w:shd w:val="clear" w:color="000000" w:fill="C6E0B4"/>
            <w:vAlign w:val="center"/>
            <w:hideMark/>
          </w:tcPr>
          <w:p w14:paraId="2A529506"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100%</w:t>
            </w:r>
          </w:p>
        </w:tc>
        <w:tc>
          <w:tcPr>
            <w:tcW w:w="563" w:type="pct"/>
            <w:gridSpan w:val="2"/>
            <w:tcBorders>
              <w:top w:val="single" w:sz="4" w:space="0" w:color="auto"/>
              <w:left w:val="nil"/>
              <w:bottom w:val="nil"/>
              <w:right w:val="single" w:sz="4" w:space="0" w:color="auto"/>
            </w:tcBorders>
            <w:shd w:val="clear" w:color="000000" w:fill="C6E0B4"/>
            <w:vAlign w:val="bottom"/>
            <w:hideMark/>
          </w:tcPr>
          <w:p w14:paraId="3D2BD9D3"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r>
      <w:tr w:rsidR="00556896" w:rsidRPr="00070B38" w14:paraId="1F6653FB" w14:textId="77777777" w:rsidTr="00556896">
        <w:trPr>
          <w:trHeight w:val="329"/>
        </w:trPr>
        <w:tc>
          <w:tcPr>
            <w:tcW w:w="716" w:type="pct"/>
            <w:vMerge/>
            <w:tcBorders>
              <w:top w:val="nil"/>
              <w:left w:val="single" w:sz="4" w:space="0" w:color="auto"/>
              <w:bottom w:val="single" w:sz="4" w:space="0" w:color="000000"/>
              <w:right w:val="single" w:sz="4" w:space="0" w:color="auto"/>
            </w:tcBorders>
            <w:vAlign w:val="center"/>
            <w:hideMark/>
          </w:tcPr>
          <w:p w14:paraId="63BC354B"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8" w:space="0" w:color="auto"/>
              <w:right w:val="single" w:sz="4" w:space="0" w:color="auto"/>
            </w:tcBorders>
            <w:shd w:val="clear" w:color="000000" w:fill="FFE699"/>
            <w:noWrap/>
            <w:vAlign w:val="bottom"/>
            <w:hideMark/>
          </w:tcPr>
          <w:p w14:paraId="4655753B"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xml:space="preserve">RLD4.3: </w:t>
            </w:r>
            <w:proofErr w:type="spellStart"/>
            <w:r w:rsidRPr="00070B38">
              <w:rPr>
                <w:rFonts w:ascii="Calibri" w:eastAsia="Times New Roman" w:hAnsi="Calibri" w:cs="Calibri"/>
                <w:color w:val="000000"/>
                <w:lang w:eastAsia="fr-FR"/>
              </w:rPr>
              <w:t>insfrastructures</w:t>
            </w:r>
            <w:proofErr w:type="spellEnd"/>
            <w:r w:rsidRPr="00070B38">
              <w:rPr>
                <w:rFonts w:ascii="Calibri" w:eastAsia="Times New Roman" w:hAnsi="Calibri" w:cs="Calibri"/>
                <w:color w:val="000000"/>
                <w:lang w:eastAsia="fr-FR"/>
              </w:rPr>
              <w:t xml:space="preserve"> pour la formation et la recherche</w:t>
            </w:r>
          </w:p>
        </w:tc>
        <w:tc>
          <w:tcPr>
            <w:tcW w:w="728" w:type="pct"/>
            <w:tcBorders>
              <w:top w:val="nil"/>
              <w:left w:val="nil"/>
              <w:bottom w:val="single" w:sz="4" w:space="0" w:color="auto"/>
              <w:right w:val="single" w:sz="4" w:space="0" w:color="auto"/>
            </w:tcBorders>
            <w:shd w:val="clear" w:color="auto" w:fill="auto"/>
            <w:vAlign w:val="center"/>
            <w:hideMark/>
          </w:tcPr>
          <w:p w14:paraId="577F435B"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523 985</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4847DB9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07C102E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12995533"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523 985</w:t>
            </w:r>
          </w:p>
        </w:tc>
      </w:tr>
      <w:tr w:rsidR="00556896" w:rsidRPr="00070B38" w14:paraId="1EBE9F92" w14:textId="77777777" w:rsidTr="004D7895">
        <w:trPr>
          <w:trHeight w:val="319"/>
        </w:trPr>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14:paraId="33B07E7B"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ILD5: Pertinence de l'enseignement et de la recherche</w:t>
            </w:r>
          </w:p>
        </w:tc>
        <w:tc>
          <w:tcPr>
            <w:tcW w:w="1896" w:type="pct"/>
            <w:tcBorders>
              <w:top w:val="nil"/>
              <w:left w:val="nil"/>
              <w:bottom w:val="single" w:sz="4" w:space="0" w:color="auto"/>
              <w:right w:val="single" w:sz="4" w:space="0" w:color="auto"/>
            </w:tcBorders>
            <w:shd w:val="clear" w:color="auto" w:fill="FFD966" w:themeFill="accent4" w:themeFillTint="99"/>
            <w:noWrap/>
            <w:vAlign w:val="bottom"/>
            <w:hideMark/>
          </w:tcPr>
          <w:p w14:paraId="14F0F44D" w14:textId="77777777" w:rsidR="00A2524B" w:rsidRPr="00684A3B" w:rsidRDefault="00A2524B" w:rsidP="002B5E84">
            <w:pPr>
              <w:rPr>
                <w:rFonts w:ascii="Calibri" w:eastAsia="Times New Roman" w:hAnsi="Calibri" w:cs="Calibri"/>
                <w:color w:val="000000"/>
                <w:lang w:eastAsia="fr-FR"/>
              </w:rPr>
            </w:pPr>
            <w:r w:rsidRPr="00684A3B">
              <w:rPr>
                <w:rFonts w:ascii="Calibri" w:eastAsia="Times New Roman" w:hAnsi="Calibri" w:cs="Calibri"/>
                <w:color w:val="000000"/>
                <w:lang w:eastAsia="fr-FR"/>
              </w:rPr>
              <w:t>RLD5.1: Génération de revenus</w:t>
            </w:r>
          </w:p>
        </w:tc>
        <w:tc>
          <w:tcPr>
            <w:tcW w:w="728" w:type="pct"/>
            <w:tcBorders>
              <w:top w:val="nil"/>
              <w:left w:val="nil"/>
              <w:bottom w:val="single" w:sz="4" w:space="0" w:color="auto"/>
              <w:right w:val="single" w:sz="4" w:space="0" w:color="auto"/>
            </w:tcBorders>
            <w:shd w:val="clear" w:color="auto" w:fill="auto"/>
            <w:vAlign w:val="center"/>
            <w:hideMark/>
          </w:tcPr>
          <w:p w14:paraId="7AD8E99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312 869</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6E871C5A"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50578D53"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49D580E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312 869</w:t>
            </w:r>
          </w:p>
        </w:tc>
      </w:tr>
      <w:tr w:rsidR="00556896" w:rsidRPr="00070B38" w14:paraId="25FD53D4" w14:textId="77777777" w:rsidTr="004D7895">
        <w:trPr>
          <w:trHeight w:val="638"/>
        </w:trPr>
        <w:tc>
          <w:tcPr>
            <w:tcW w:w="716" w:type="pct"/>
            <w:vMerge/>
            <w:tcBorders>
              <w:top w:val="nil"/>
              <w:left w:val="single" w:sz="4" w:space="0" w:color="auto"/>
              <w:bottom w:val="single" w:sz="4" w:space="0" w:color="000000"/>
              <w:right w:val="single" w:sz="4" w:space="0" w:color="auto"/>
            </w:tcBorders>
            <w:vAlign w:val="center"/>
            <w:hideMark/>
          </w:tcPr>
          <w:p w14:paraId="11FC575E"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4" w:space="0" w:color="auto"/>
              <w:right w:val="single" w:sz="4" w:space="0" w:color="auto"/>
            </w:tcBorders>
            <w:shd w:val="clear" w:color="auto" w:fill="FFD966" w:themeFill="accent4" w:themeFillTint="99"/>
            <w:vAlign w:val="center"/>
            <w:hideMark/>
          </w:tcPr>
          <w:p w14:paraId="18B074E3"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RLD5.2:Nombre d'étudiants ayant effectué un stage d'au moins un mois ou un personnel ayant effectué un stage</w:t>
            </w:r>
          </w:p>
        </w:tc>
        <w:tc>
          <w:tcPr>
            <w:tcW w:w="728" w:type="pct"/>
            <w:tcBorders>
              <w:top w:val="nil"/>
              <w:left w:val="nil"/>
              <w:bottom w:val="single" w:sz="4" w:space="0" w:color="auto"/>
              <w:right w:val="single" w:sz="4" w:space="0" w:color="auto"/>
            </w:tcBorders>
            <w:shd w:val="clear" w:color="auto" w:fill="auto"/>
            <w:vAlign w:val="center"/>
            <w:hideMark/>
          </w:tcPr>
          <w:p w14:paraId="4480E3BC"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84 200</w:t>
            </w:r>
          </w:p>
        </w:tc>
        <w:tc>
          <w:tcPr>
            <w:tcW w:w="638" w:type="pct"/>
            <w:gridSpan w:val="2"/>
            <w:tcBorders>
              <w:top w:val="nil"/>
              <w:left w:val="nil"/>
              <w:bottom w:val="single" w:sz="4" w:space="0" w:color="auto"/>
              <w:right w:val="single" w:sz="4" w:space="0" w:color="auto"/>
            </w:tcBorders>
            <w:shd w:val="clear" w:color="auto" w:fill="auto"/>
            <w:vAlign w:val="center"/>
            <w:hideMark/>
          </w:tcPr>
          <w:p w14:paraId="1FAD70C6"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25 230</w:t>
            </w:r>
          </w:p>
        </w:tc>
        <w:tc>
          <w:tcPr>
            <w:tcW w:w="458" w:type="pct"/>
            <w:tcBorders>
              <w:top w:val="single" w:sz="4" w:space="0" w:color="auto"/>
              <w:left w:val="nil"/>
              <w:bottom w:val="nil"/>
              <w:right w:val="single" w:sz="4" w:space="0" w:color="auto"/>
            </w:tcBorders>
            <w:shd w:val="clear" w:color="auto" w:fill="auto"/>
            <w:vAlign w:val="center"/>
            <w:hideMark/>
          </w:tcPr>
          <w:p w14:paraId="5BCC2EB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30%</w:t>
            </w:r>
          </w:p>
        </w:tc>
        <w:tc>
          <w:tcPr>
            <w:tcW w:w="563" w:type="pct"/>
            <w:gridSpan w:val="2"/>
            <w:tcBorders>
              <w:top w:val="single" w:sz="4" w:space="0" w:color="auto"/>
              <w:left w:val="nil"/>
              <w:bottom w:val="nil"/>
              <w:right w:val="single" w:sz="4" w:space="0" w:color="auto"/>
            </w:tcBorders>
            <w:shd w:val="clear" w:color="auto" w:fill="auto"/>
            <w:vAlign w:val="bottom"/>
            <w:hideMark/>
          </w:tcPr>
          <w:p w14:paraId="4329646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58 970</w:t>
            </w:r>
          </w:p>
        </w:tc>
      </w:tr>
      <w:tr w:rsidR="00556896" w:rsidRPr="00070B38" w14:paraId="0AC7A76E" w14:textId="77777777" w:rsidTr="00556896">
        <w:trPr>
          <w:trHeight w:val="967"/>
        </w:trPr>
        <w:tc>
          <w:tcPr>
            <w:tcW w:w="716" w:type="pct"/>
            <w:vMerge/>
            <w:tcBorders>
              <w:top w:val="nil"/>
              <w:left w:val="single" w:sz="4" w:space="0" w:color="auto"/>
              <w:bottom w:val="single" w:sz="4" w:space="0" w:color="000000"/>
              <w:right w:val="single" w:sz="4" w:space="0" w:color="auto"/>
            </w:tcBorders>
            <w:vAlign w:val="center"/>
            <w:hideMark/>
          </w:tcPr>
          <w:p w14:paraId="0285BD64"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8" w:space="0" w:color="auto"/>
              <w:right w:val="single" w:sz="4" w:space="0" w:color="auto"/>
            </w:tcBorders>
            <w:shd w:val="clear" w:color="000000" w:fill="FFE699"/>
            <w:vAlign w:val="bottom"/>
            <w:hideMark/>
          </w:tcPr>
          <w:p w14:paraId="5FBF62D8"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RLD5.3: Nombre de nouveaux entrepreneuriats, innovations, entreprises start-up et programmes de soutien à la commercialisation</w:t>
            </w:r>
          </w:p>
        </w:tc>
        <w:tc>
          <w:tcPr>
            <w:tcW w:w="728" w:type="pct"/>
            <w:tcBorders>
              <w:top w:val="nil"/>
              <w:left w:val="nil"/>
              <w:bottom w:val="single" w:sz="4" w:space="0" w:color="auto"/>
              <w:right w:val="single" w:sz="4" w:space="0" w:color="auto"/>
            </w:tcBorders>
            <w:shd w:val="clear" w:color="auto" w:fill="auto"/>
            <w:vAlign w:val="center"/>
            <w:hideMark/>
          </w:tcPr>
          <w:p w14:paraId="4C3FD72E"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88 631</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482EE0F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49795B17"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4FA868C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88 631</w:t>
            </w:r>
          </w:p>
        </w:tc>
      </w:tr>
      <w:tr w:rsidR="00556896" w:rsidRPr="00070B38" w14:paraId="0FEEC85B" w14:textId="77777777" w:rsidTr="00556896">
        <w:trPr>
          <w:trHeight w:val="319"/>
        </w:trPr>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14:paraId="286EEF58"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lastRenderedPageBreak/>
              <w:t>ILD6: Gestion financière</w:t>
            </w:r>
          </w:p>
        </w:tc>
        <w:tc>
          <w:tcPr>
            <w:tcW w:w="1896" w:type="pct"/>
            <w:tcBorders>
              <w:top w:val="nil"/>
              <w:left w:val="nil"/>
              <w:bottom w:val="single" w:sz="4" w:space="0" w:color="auto"/>
              <w:right w:val="single" w:sz="4" w:space="0" w:color="auto"/>
            </w:tcBorders>
            <w:shd w:val="clear" w:color="auto" w:fill="auto"/>
            <w:noWrap/>
            <w:vAlign w:val="bottom"/>
            <w:hideMark/>
          </w:tcPr>
          <w:p w14:paraId="42E0C847"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RLD6.1:Rapports fiduciaires en temps opportun</w:t>
            </w:r>
          </w:p>
        </w:tc>
        <w:tc>
          <w:tcPr>
            <w:tcW w:w="728" w:type="pct"/>
            <w:tcBorders>
              <w:top w:val="nil"/>
              <w:left w:val="nil"/>
              <w:bottom w:val="single" w:sz="4" w:space="0" w:color="auto"/>
              <w:right w:val="single" w:sz="4" w:space="0" w:color="auto"/>
            </w:tcBorders>
            <w:shd w:val="clear" w:color="auto" w:fill="auto"/>
            <w:vAlign w:val="center"/>
            <w:hideMark/>
          </w:tcPr>
          <w:p w14:paraId="4470264E"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65 500</w:t>
            </w:r>
          </w:p>
        </w:tc>
        <w:tc>
          <w:tcPr>
            <w:tcW w:w="638" w:type="pct"/>
            <w:gridSpan w:val="2"/>
            <w:tcBorders>
              <w:top w:val="nil"/>
              <w:left w:val="nil"/>
              <w:bottom w:val="single" w:sz="4" w:space="0" w:color="auto"/>
              <w:right w:val="single" w:sz="4" w:space="0" w:color="auto"/>
            </w:tcBorders>
            <w:shd w:val="clear" w:color="auto" w:fill="auto"/>
            <w:vAlign w:val="center"/>
            <w:hideMark/>
          </w:tcPr>
          <w:p w14:paraId="1D7A685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16 375</w:t>
            </w:r>
          </w:p>
        </w:tc>
        <w:tc>
          <w:tcPr>
            <w:tcW w:w="458" w:type="pct"/>
            <w:tcBorders>
              <w:top w:val="single" w:sz="4" w:space="0" w:color="auto"/>
              <w:left w:val="nil"/>
              <w:bottom w:val="nil"/>
              <w:right w:val="single" w:sz="4" w:space="0" w:color="auto"/>
            </w:tcBorders>
            <w:shd w:val="clear" w:color="auto" w:fill="auto"/>
            <w:vAlign w:val="center"/>
            <w:hideMark/>
          </w:tcPr>
          <w:p w14:paraId="7C026C1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25%</w:t>
            </w:r>
          </w:p>
        </w:tc>
        <w:tc>
          <w:tcPr>
            <w:tcW w:w="563" w:type="pct"/>
            <w:gridSpan w:val="2"/>
            <w:tcBorders>
              <w:top w:val="single" w:sz="4" w:space="0" w:color="auto"/>
              <w:left w:val="nil"/>
              <w:bottom w:val="nil"/>
              <w:right w:val="single" w:sz="4" w:space="0" w:color="auto"/>
            </w:tcBorders>
            <w:shd w:val="clear" w:color="auto" w:fill="auto"/>
            <w:vAlign w:val="bottom"/>
            <w:hideMark/>
          </w:tcPr>
          <w:p w14:paraId="03F9599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49 125</w:t>
            </w:r>
          </w:p>
        </w:tc>
      </w:tr>
      <w:tr w:rsidR="00556896" w:rsidRPr="00070B38" w14:paraId="67E55C6F" w14:textId="77777777" w:rsidTr="00556896">
        <w:trPr>
          <w:trHeight w:val="319"/>
        </w:trPr>
        <w:tc>
          <w:tcPr>
            <w:tcW w:w="716" w:type="pct"/>
            <w:vMerge/>
            <w:tcBorders>
              <w:top w:val="nil"/>
              <w:left w:val="single" w:sz="4" w:space="0" w:color="auto"/>
              <w:bottom w:val="single" w:sz="4" w:space="0" w:color="000000"/>
              <w:right w:val="single" w:sz="4" w:space="0" w:color="auto"/>
            </w:tcBorders>
            <w:vAlign w:val="center"/>
            <w:hideMark/>
          </w:tcPr>
          <w:p w14:paraId="5688FE02"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4" w:space="0" w:color="auto"/>
              <w:right w:val="single" w:sz="4" w:space="0" w:color="auto"/>
            </w:tcBorders>
            <w:shd w:val="clear" w:color="000000" w:fill="FFE699"/>
            <w:noWrap/>
            <w:vAlign w:val="bottom"/>
            <w:hideMark/>
          </w:tcPr>
          <w:p w14:paraId="60858058"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RLD6.2: Unité d'audit interne opérationnel</w:t>
            </w:r>
          </w:p>
        </w:tc>
        <w:tc>
          <w:tcPr>
            <w:tcW w:w="728" w:type="pct"/>
            <w:tcBorders>
              <w:top w:val="nil"/>
              <w:left w:val="nil"/>
              <w:bottom w:val="single" w:sz="4" w:space="0" w:color="auto"/>
              <w:right w:val="single" w:sz="4" w:space="0" w:color="auto"/>
            </w:tcBorders>
            <w:shd w:val="clear" w:color="auto" w:fill="auto"/>
            <w:vAlign w:val="center"/>
            <w:hideMark/>
          </w:tcPr>
          <w:p w14:paraId="7C99A634"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65 500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2D8A0ADC"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23CF580A"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6471415C"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65 500</w:t>
            </w:r>
          </w:p>
        </w:tc>
      </w:tr>
      <w:tr w:rsidR="00556896" w:rsidRPr="00070B38" w14:paraId="285F8508" w14:textId="77777777" w:rsidTr="00556896">
        <w:trPr>
          <w:trHeight w:val="319"/>
        </w:trPr>
        <w:tc>
          <w:tcPr>
            <w:tcW w:w="716" w:type="pct"/>
            <w:vMerge/>
            <w:tcBorders>
              <w:top w:val="nil"/>
              <w:left w:val="single" w:sz="4" w:space="0" w:color="auto"/>
              <w:bottom w:val="single" w:sz="4" w:space="0" w:color="000000"/>
              <w:right w:val="single" w:sz="4" w:space="0" w:color="auto"/>
            </w:tcBorders>
            <w:vAlign w:val="center"/>
            <w:hideMark/>
          </w:tcPr>
          <w:p w14:paraId="6517EB62"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4" w:space="0" w:color="auto"/>
              <w:right w:val="single" w:sz="4" w:space="0" w:color="auto"/>
            </w:tcBorders>
            <w:shd w:val="clear" w:color="auto" w:fill="auto"/>
            <w:noWrap/>
            <w:vAlign w:val="bottom"/>
            <w:hideMark/>
          </w:tcPr>
          <w:p w14:paraId="61ADFF5E"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RLD6.3: Transparence Web sur les rapports fiduciaires</w:t>
            </w:r>
          </w:p>
        </w:tc>
        <w:tc>
          <w:tcPr>
            <w:tcW w:w="728" w:type="pct"/>
            <w:tcBorders>
              <w:top w:val="nil"/>
              <w:left w:val="nil"/>
              <w:bottom w:val="single" w:sz="4" w:space="0" w:color="auto"/>
              <w:right w:val="single" w:sz="4" w:space="0" w:color="auto"/>
            </w:tcBorders>
            <w:shd w:val="clear" w:color="auto" w:fill="auto"/>
            <w:vAlign w:val="center"/>
            <w:hideMark/>
          </w:tcPr>
          <w:p w14:paraId="6B2AA126"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65 500</w:t>
            </w:r>
          </w:p>
        </w:tc>
        <w:tc>
          <w:tcPr>
            <w:tcW w:w="638" w:type="pct"/>
            <w:gridSpan w:val="2"/>
            <w:tcBorders>
              <w:top w:val="nil"/>
              <w:left w:val="nil"/>
              <w:bottom w:val="single" w:sz="4" w:space="0" w:color="auto"/>
              <w:right w:val="single" w:sz="4" w:space="0" w:color="auto"/>
            </w:tcBorders>
            <w:shd w:val="clear" w:color="auto" w:fill="auto"/>
            <w:vAlign w:val="center"/>
            <w:hideMark/>
          </w:tcPr>
          <w:p w14:paraId="5D750D23"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13 100</w:t>
            </w:r>
          </w:p>
        </w:tc>
        <w:tc>
          <w:tcPr>
            <w:tcW w:w="458" w:type="pct"/>
            <w:tcBorders>
              <w:top w:val="single" w:sz="4" w:space="0" w:color="auto"/>
              <w:left w:val="nil"/>
              <w:bottom w:val="nil"/>
              <w:right w:val="single" w:sz="4" w:space="0" w:color="auto"/>
            </w:tcBorders>
            <w:shd w:val="clear" w:color="auto" w:fill="auto"/>
            <w:vAlign w:val="center"/>
            <w:hideMark/>
          </w:tcPr>
          <w:p w14:paraId="6E85EBE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20%</w:t>
            </w:r>
          </w:p>
        </w:tc>
        <w:tc>
          <w:tcPr>
            <w:tcW w:w="563" w:type="pct"/>
            <w:gridSpan w:val="2"/>
            <w:tcBorders>
              <w:top w:val="single" w:sz="4" w:space="0" w:color="auto"/>
              <w:left w:val="nil"/>
              <w:bottom w:val="nil"/>
              <w:right w:val="single" w:sz="4" w:space="0" w:color="auto"/>
            </w:tcBorders>
            <w:shd w:val="clear" w:color="auto" w:fill="auto"/>
            <w:vAlign w:val="bottom"/>
            <w:hideMark/>
          </w:tcPr>
          <w:p w14:paraId="22B8D8B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52 400</w:t>
            </w:r>
          </w:p>
        </w:tc>
      </w:tr>
      <w:tr w:rsidR="00556896" w:rsidRPr="00070B38" w14:paraId="51C1B6C7" w14:textId="77777777" w:rsidTr="00556896">
        <w:trPr>
          <w:trHeight w:val="329"/>
        </w:trPr>
        <w:tc>
          <w:tcPr>
            <w:tcW w:w="716" w:type="pct"/>
            <w:vMerge/>
            <w:tcBorders>
              <w:top w:val="nil"/>
              <w:left w:val="single" w:sz="4" w:space="0" w:color="auto"/>
              <w:bottom w:val="single" w:sz="4" w:space="0" w:color="000000"/>
              <w:right w:val="single" w:sz="4" w:space="0" w:color="auto"/>
            </w:tcBorders>
            <w:vAlign w:val="center"/>
            <w:hideMark/>
          </w:tcPr>
          <w:p w14:paraId="737F4A7C"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8" w:space="0" w:color="auto"/>
              <w:right w:val="single" w:sz="4" w:space="0" w:color="auto"/>
            </w:tcBorders>
            <w:shd w:val="clear" w:color="000000" w:fill="FFE699"/>
            <w:noWrap/>
            <w:vAlign w:val="bottom"/>
            <w:hideMark/>
          </w:tcPr>
          <w:p w14:paraId="75597B4B"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xml:space="preserve">RLD6.4: Qualité de la planification de l’approvisionnement </w:t>
            </w:r>
          </w:p>
        </w:tc>
        <w:tc>
          <w:tcPr>
            <w:tcW w:w="728" w:type="pct"/>
            <w:tcBorders>
              <w:top w:val="nil"/>
              <w:left w:val="nil"/>
              <w:bottom w:val="single" w:sz="4" w:space="0" w:color="auto"/>
              <w:right w:val="single" w:sz="4" w:space="0" w:color="auto"/>
            </w:tcBorders>
            <w:shd w:val="clear" w:color="auto" w:fill="auto"/>
            <w:vAlign w:val="center"/>
            <w:hideMark/>
          </w:tcPr>
          <w:p w14:paraId="04DBDD04"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65 500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01BAA42B"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7038C48F"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4CD991F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65 500</w:t>
            </w:r>
          </w:p>
        </w:tc>
      </w:tr>
      <w:tr w:rsidR="00556896" w:rsidRPr="00070B38" w14:paraId="71B42203" w14:textId="77777777" w:rsidTr="00556896">
        <w:trPr>
          <w:trHeight w:val="319"/>
        </w:trPr>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14:paraId="0F8DC869"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ILD7: Impact institutionnel</w:t>
            </w:r>
          </w:p>
        </w:tc>
        <w:tc>
          <w:tcPr>
            <w:tcW w:w="1896" w:type="pct"/>
            <w:tcBorders>
              <w:top w:val="nil"/>
              <w:left w:val="nil"/>
              <w:bottom w:val="single" w:sz="4" w:space="0" w:color="auto"/>
              <w:right w:val="single" w:sz="4" w:space="0" w:color="auto"/>
            </w:tcBorders>
            <w:shd w:val="clear" w:color="000000" w:fill="FFE699"/>
            <w:noWrap/>
            <w:vAlign w:val="bottom"/>
            <w:hideMark/>
          </w:tcPr>
          <w:p w14:paraId="4D4E2EFF"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RLD7.1: Stratégie régionale à l'échelle de l'université</w:t>
            </w:r>
          </w:p>
        </w:tc>
        <w:tc>
          <w:tcPr>
            <w:tcW w:w="728" w:type="pct"/>
            <w:tcBorders>
              <w:top w:val="nil"/>
              <w:left w:val="nil"/>
              <w:bottom w:val="single" w:sz="4" w:space="0" w:color="auto"/>
              <w:right w:val="single" w:sz="4" w:space="0" w:color="auto"/>
            </w:tcBorders>
            <w:shd w:val="clear" w:color="auto" w:fill="auto"/>
            <w:vAlign w:val="center"/>
            <w:hideMark/>
          </w:tcPr>
          <w:p w14:paraId="4B6DD81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5007899A"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4C36A8F8"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67FD0BA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r>
      <w:tr w:rsidR="00556896" w:rsidRPr="00070B38" w14:paraId="544A9972" w14:textId="77777777" w:rsidTr="00556896">
        <w:trPr>
          <w:trHeight w:val="638"/>
        </w:trPr>
        <w:tc>
          <w:tcPr>
            <w:tcW w:w="716" w:type="pct"/>
            <w:vMerge/>
            <w:tcBorders>
              <w:top w:val="nil"/>
              <w:left w:val="single" w:sz="4" w:space="0" w:color="auto"/>
              <w:bottom w:val="single" w:sz="4" w:space="0" w:color="000000"/>
              <w:right w:val="single" w:sz="4" w:space="0" w:color="auto"/>
            </w:tcBorders>
            <w:vAlign w:val="center"/>
            <w:hideMark/>
          </w:tcPr>
          <w:p w14:paraId="2689B6F7"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4" w:space="0" w:color="auto"/>
              <w:right w:val="single" w:sz="4" w:space="0" w:color="auto"/>
            </w:tcBorders>
            <w:shd w:val="clear" w:color="000000" w:fill="F8CBAD"/>
            <w:vAlign w:val="center"/>
            <w:hideMark/>
          </w:tcPr>
          <w:p w14:paraId="0C3CEE89"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xml:space="preserve">RLD7.2: L'université d’accueil de CEA adopte une sélection de dirigeants d'université basée sur le mérite: </w:t>
            </w:r>
            <w:r w:rsidRPr="00070B38">
              <w:rPr>
                <w:rFonts w:ascii="Arial" w:eastAsia="Times New Roman" w:hAnsi="Arial" w:cs="Arial"/>
                <w:b/>
                <w:bCs/>
                <w:color w:val="000000"/>
                <w:lang w:eastAsia="fr-FR"/>
              </w:rPr>
              <w:t>N/A</w:t>
            </w:r>
          </w:p>
        </w:tc>
        <w:tc>
          <w:tcPr>
            <w:tcW w:w="728" w:type="pct"/>
            <w:tcBorders>
              <w:top w:val="nil"/>
              <w:left w:val="nil"/>
              <w:bottom w:val="single" w:sz="4" w:space="0" w:color="auto"/>
              <w:right w:val="single" w:sz="4" w:space="0" w:color="auto"/>
            </w:tcBorders>
            <w:shd w:val="clear" w:color="000000" w:fill="F8CBAD"/>
            <w:vAlign w:val="center"/>
            <w:hideMark/>
          </w:tcPr>
          <w:p w14:paraId="1897B837"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 </w:t>
            </w:r>
          </w:p>
        </w:tc>
        <w:tc>
          <w:tcPr>
            <w:tcW w:w="638" w:type="pct"/>
            <w:gridSpan w:val="2"/>
            <w:tcBorders>
              <w:top w:val="nil"/>
              <w:left w:val="nil"/>
              <w:bottom w:val="single" w:sz="4" w:space="0" w:color="auto"/>
              <w:right w:val="single" w:sz="4" w:space="0" w:color="auto"/>
            </w:tcBorders>
            <w:shd w:val="clear" w:color="000000" w:fill="F8CBAD"/>
            <w:vAlign w:val="center"/>
            <w:hideMark/>
          </w:tcPr>
          <w:p w14:paraId="0F82E38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000000" w:fill="F8CBAD"/>
            <w:vAlign w:val="center"/>
            <w:hideMark/>
          </w:tcPr>
          <w:p w14:paraId="2B5FB22C" w14:textId="77777777" w:rsidR="00A2524B" w:rsidRPr="00070B38" w:rsidRDefault="00A2524B" w:rsidP="002B5E84">
            <w:pPr>
              <w:jc w:val="center"/>
              <w:rPr>
                <w:rFonts w:ascii="Calibri" w:eastAsia="Times New Roman" w:hAnsi="Calibri" w:cs="Calibri"/>
                <w:color w:val="000000"/>
                <w:lang w:eastAsia="fr-FR"/>
              </w:rPr>
            </w:pPr>
            <w:r w:rsidRPr="00070B38">
              <w:rPr>
                <w:rFonts w:ascii="Calibri" w:eastAsia="Times New Roman" w:hAnsi="Calibri" w:cs="Calibri"/>
                <w:color w:val="000000"/>
                <w:lang w:eastAsia="fr-FR"/>
              </w:rPr>
              <w:t>#DIV/0!</w:t>
            </w:r>
          </w:p>
        </w:tc>
        <w:tc>
          <w:tcPr>
            <w:tcW w:w="563" w:type="pct"/>
            <w:gridSpan w:val="2"/>
            <w:tcBorders>
              <w:top w:val="single" w:sz="4" w:space="0" w:color="auto"/>
              <w:left w:val="nil"/>
              <w:bottom w:val="nil"/>
              <w:right w:val="single" w:sz="4" w:space="0" w:color="auto"/>
            </w:tcBorders>
            <w:shd w:val="clear" w:color="000000" w:fill="F8CBAD"/>
            <w:vAlign w:val="bottom"/>
            <w:hideMark/>
          </w:tcPr>
          <w:p w14:paraId="11430CB1"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r>
      <w:tr w:rsidR="00556896" w:rsidRPr="00070B38" w14:paraId="68C9D8D5" w14:textId="77777777" w:rsidTr="00556896">
        <w:trPr>
          <w:trHeight w:val="319"/>
        </w:trPr>
        <w:tc>
          <w:tcPr>
            <w:tcW w:w="716" w:type="pct"/>
            <w:vMerge/>
            <w:tcBorders>
              <w:top w:val="nil"/>
              <w:left w:val="single" w:sz="4" w:space="0" w:color="auto"/>
              <w:bottom w:val="single" w:sz="4" w:space="0" w:color="000000"/>
              <w:right w:val="single" w:sz="4" w:space="0" w:color="auto"/>
            </w:tcBorders>
            <w:vAlign w:val="center"/>
            <w:hideMark/>
          </w:tcPr>
          <w:p w14:paraId="4CED9EA1"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4" w:space="0" w:color="auto"/>
              <w:right w:val="single" w:sz="4" w:space="0" w:color="auto"/>
            </w:tcBorders>
            <w:shd w:val="clear" w:color="000000" w:fill="FFE699"/>
            <w:noWrap/>
            <w:vAlign w:val="bottom"/>
            <w:hideMark/>
          </w:tcPr>
          <w:p w14:paraId="52EB55C3"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RLD7.3: Accréditation institutionnelle</w:t>
            </w:r>
          </w:p>
        </w:tc>
        <w:tc>
          <w:tcPr>
            <w:tcW w:w="728" w:type="pct"/>
            <w:tcBorders>
              <w:top w:val="nil"/>
              <w:left w:val="nil"/>
              <w:bottom w:val="single" w:sz="4" w:space="0" w:color="auto"/>
              <w:right w:val="single" w:sz="4" w:space="0" w:color="auto"/>
            </w:tcBorders>
            <w:shd w:val="clear" w:color="auto" w:fill="auto"/>
            <w:vAlign w:val="center"/>
            <w:hideMark/>
          </w:tcPr>
          <w:p w14:paraId="2945FA6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240 130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7CA4E03D"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5C3B90A6"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74292052"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240 130</w:t>
            </w:r>
          </w:p>
        </w:tc>
      </w:tr>
      <w:tr w:rsidR="00556896" w:rsidRPr="00070B38" w14:paraId="3FD9924F" w14:textId="77777777" w:rsidTr="00556896">
        <w:trPr>
          <w:trHeight w:val="319"/>
        </w:trPr>
        <w:tc>
          <w:tcPr>
            <w:tcW w:w="716" w:type="pct"/>
            <w:vMerge/>
            <w:tcBorders>
              <w:top w:val="nil"/>
              <w:left w:val="single" w:sz="4" w:space="0" w:color="auto"/>
              <w:bottom w:val="single" w:sz="4" w:space="0" w:color="000000"/>
              <w:right w:val="single" w:sz="4" w:space="0" w:color="auto"/>
            </w:tcBorders>
            <w:vAlign w:val="center"/>
            <w:hideMark/>
          </w:tcPr>
          <w:p w14:paraId="229044B6"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4" w:space="0" w:color="auto"/>
              <w:right w:val="single" w:sz="4" w:space="0" w:color="auto"/>
            </w:tcBorders>
            <w:shd w:val="clear" w:color="000000" w:fill="FFE699"/>
            <w:noWrap/>
            <w:vAlign w:val="bottom"/>
            <w:hideMark/>
          </w:tcPr>
          <w:p w14:paraId="13A8D216"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RLD7.4: L'Université d'accueil CEA participe au PASET</w:t>
            </w:r>
          </w:p>
        </w:tc>
        <w:tc>
          <w:tcPr>
            <w:tcW w:w="728" w:type="pct"/>
            <w:tcBorders>
              <w:top w:val="nil"/>
              <w:left w:val="nil"/>
              <w:bottom w:val="single" w:sz="4" w:space="0" w:color="auto"/>
              <w:right w:val="single" w:sz="4" w:space="0" w:color="auto"/>
            </w:tcBorders>
            <w:shd w:val="clear" w:color="auto" w:fill="auto"/>
            <w:vAlign w:val="center"/>
            <w:hideMark/>
          </w:tcPr>
          <w:p w14:paraId="4E9052E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11C981F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7A8BF250"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65DBE47E"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r>
      <w:tr w:rsidR="00556896" w:rsidRPr="00070B38" w14:paraId="3BCEB984" w14:textId="77777777" w:rsidTr="00556896">
        <w:trPr>
          <w:trHeight w:val="329"/>
        </w:trPr>
        <w:tc>
          <w:tcPr>
            <w:tcW w:w="716" w:type="pct"/>
            <w:vMerge/>
            <w:tcBorders>
              <w:top w:val="nil"/>
              <w:left w:val="single" w:sz="4" w:space="0" w:color="auto"/>
              <w:bottom w:val="single" w:sz="4" w:space="0" w:color="000000"/>
              <w:right w:val="single" w:sz="4" w:space="0" w:color="auto"/>
            </w:tcBorders>
            <w:vAlign w:val="center"/>
            <w:hideMark/>
          </w:tcPr>
          <w:p w14:paraId="18CEC70E" w14:textId="77777777" w:rsidR="00A2524B" w:rsidRPr="00070B38" w:rsidRDefault="00A2524B" w:rsidP="002B5E84">
            <w:pPr>
              <w:rPr>
                <w:rFonts w:ascii="Calibri" w:eastAsia="Times New Roman" w:hAnsi="Calibri" w:cs="Calibri"/>
                <w:color w:val="000000"/>
                <w:lang w:eastAsia="fr-FR"/>
              </w:rPr>
            </w:pPr>
          </w:p>
        </w:tc>
        <w:tc>
          <w:tcPr>
            <w:tcW w:w="1896" w:type="pct"/>
            <w:tcBorders>
              <w:top w:val="nil"/>
              <w:left w:val="nil"/>
              <w:bottom w:val="single" w:sz="8" w:space="0" w:color="auto"/>
              <w:right w:val="single" w:sz="4" w:space="0" w:color="auto"/>
            </w:tcBorders>
            <w:shd w:val="clear" w:color="000000" w:fill="FFE699"/>
            <w:noWrap/>
            <w:vAlign w:val="bottom"/>
            <w:hideMark/>
          </w:tcPr>
          <w:p w14:paraId="4FB71C35"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RLD7.5: Impact institutionnelle</w:t>
            </w:r>
          </w:p>
        </w:tc>
        <w:tc>
          <w:tcPr>
            <w:tcW w:w="728" w:type="pct"/>
            <w:tcBorders>
              <w:top w:val="nil"/>
              <w:left w:val="nil"/>
              <w:bottom w:val="single" w:sz="4" w:space="0" w:color="auto"/>
              <w:right w:val="single" w:sz="4" w:space="0" w:color="auto"/>
            </w:tcBorders>
            <w:shd w:val="clear" w:color="auto" w:fill="auto"/>
            <w:vAlign w:val="center"/>
            <w:hideMark/>
          </w:tcPr>
          <w:p w14:paraId="3EC1F8F7"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c>
          <w:tcPr>
            <w:tcW w:w="638" w:type="pct"/>
            <w:gridSpan w:val="2"/>
            <w:tcBorders>
              <w:top w:val="nil"/>
              <w:left w:val="nil"/>
              <w:bottom w:val="single" w:sz="4" w:space="0" w:color="auto"/>
              <w:right w:val="single" w:sz="4" w:space="0" w:color="auto"/>
            </w:tcBorders>
            <w:shd w:val="clear" w:color="000000" w:fill="FFE699"/>
            <w:vAlign w:val="center"/>
            <w:hideMark/>
          </w:tcPr>
          <w:p w14:paraId="32790229"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458" w:type="pct"/>
            <w:tcBorders>
              <w:top w:val="single" w:sz="4" w:space="0" w:color="auto"/>
              <w:left w:val="nil"/>
              <w:bottom w:val="nil"/>
              <w:right w:val="single" w:sz="4" w:space="0" w:color="auto"/>
            </w:tcBorders>
            <w:shd w:val="clear" w:color="auto" w:fill="auto"/>
            <w:vAlign w:val="center"/>
            <w:hideMark/>
          </w:tcPr>
          <w:p w14:paraId="67549DFB"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0%</w:t>
            </w:r>
          </w:p>
        </w:tc>
        <w:tc>
          <w:tcPr>
            <w:tcW w:w="563" w:type="pct"/>
            <w:gridSpan w:val="2"/>
            <w:tcBorders>
              <w:top w:val="single" w:sz="4" w:space="0" w:color="auto"/>
              <w:left w:val="nil"/>
              <w:bottom w:val="nil"/>
              <w:right w:val="single" w:sz="4" w:space="0" w:color="auto"/>
            </w:tcBorders>
            <w:shd w:val="clear" w:color="auto" w:fill="auto"/>
            <w:vAlign w:val="bottom"/>
            <w:hideMark/>
          </w:tcPr>
          <w:p w14:paraId="343DA424"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87 320</w:t>
            </w:r>
          </w:p>
        </w:tc>
      </w:tr>
      <w:tr w:rsidR="00556896" w:rsidRPr="00070B38" w14:paraId="47BC02C0" w14:textId="77777777" w:rsidTr="00556896">
        <w:trPr>
          <w:trHeight w:val="319"/>
        </w:trPr>
        <w:tc>
          <w:tcPr>
            <w:tcW w:w="716" w:type="pct"/>
            <w:tcBorders>
              <w:top w:val="nil"/>
              <w:left w:val="single" w:sz="4" w:space="0" w:color="auto"/>
              <w:bottom w:val="single" w:sz="4" w:space="0" w:color="auto"/>
              <w:right w:val="single" w:sz="4" w:space="0" w:color="auto"/>
            </w:tcBorders>
            <w:shd w:val="clear" w:color="auto" w:fill="auto"/>
            <w:vAlign w:val="center"/>
            <w:hideMark/>
          </w:tcPr>
          <w:p w14:paraId="04AFDEE3"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Total en Euros</w:t>
            </w:r>
          </w:p>
        </w:tc>
        <w:tc>
          <w:tcPr>
            <w:tcW w:w="1896" w:type="pct"/>
            <w:tcBorders>
              <w:top w:val="nil"/>
              <w:left w:val="nil"/>
              <w:bottom w:val="single" w:sz="4" w:space="0" w:color="auto"/>
              <w:right w:val="single" w:sz="4" w:space="0" w:color="auto"/>
            </w:tcBorders>
            <w:shd w:val="clear" w:color="auto" w:fill="auto"/>
            <w:vAlign w:val="center"/>
            <w:hideMark/>
          </w:tcPr>
          <w:p w14:paraId="6A066D73"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w:t>
            </w:r>
          </w:p>
        </w:tc>
        <w:tc>
          <w:tcPr>
            <w:tcW w:w="728" w:type="pct"/>
            <w:tcBorders>
              <w:top w:val="nil"/>
              <w:left w:val="nil"/>
              <w:bottom w:val="single" w:sz="4" w:space="0" w:color="auto"/>
              <w:right w:val="single" w:sz="4" w:space="0" w:color="auto"/>
            </w:tcBorders>
            <w:shd w:val="clear" w:color="auto" w:fill="auto"/>
            <w:vAlign w:val="bottom"/>
            <w:hideMark/>
          </w:tcPr>
          <w:p w14:paraId="13A1BD7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3 980 745</w:t>
            </w:r>
          </w:p>
        </w:tc>
        <w:tc>
          <w:tcPr>
            <w:tcW w:w="638" w:type="pct"/>
            <w:gridSpan w:val="2"/>
            <w:tcBorders>
              <w:top w:val="nil"/>
              <w:left w:val="nil"/>
              <w:bottom w:val="single" w:sz="4" w:space="0" w:color="auto"/>
              <w:right w:val="single" w:sz="4" w:space="0" w:color="auto"/>
            </w:tcBorders>
            <w:shd w:val="clear" w:color="auto" w:fill="auto"/>
            <w:vAlign w:val="bottom"/>
            <w:hideMark/>
          </w:tcPr>
          <w:p w14:paraId="3EEDDB77"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1 495 806</w:t>
            </w:r>
          </w:p>
        </w:tc>
        <w:tc>
          <w:tcPr>
            <w:tcW w:w="458" w:type="pct"/>
            <w:tcBorders>
              <w:top w:val="single" w:sz="4" w:space="0" w:color="auto"/>
              <w:left w:val="nil"/>
              <w:bottom w:val="single" w:sz="4" w:space="0" w:color="auto"/>
              <w:right w:val="single" w:sz="4" w:space="0" w:color="auto"/>
            </w:tcBorders>
            <w:shd w:val="clear" w:color="auto" w:fill="auto"/>
            <w:vAlign w:val="bottom"/>
            <w:hideMark/>
          </w:tcPr>
          <w:p w14:paraId="46093348" w14:textId="77777777" w:rsidR="00A2524B" w:rsidRPr="00070B38" w:rsidRDefault="00A2524B" w:rsidP="002B5E84">
            <w:pPr>
              <w:jc w:val="center"/>
              <w:rPr>
                <w:rFonts w:ascii="Calibri" w:eastAsia="Times New Roman" w:hAnsi="Calibri" w:cs="Calibri"/>
                <w:color w:val="000000"/>
                <w:lang w:eastAsia="fr-FR"/>
              </w:rPr>
            </w:pPr>
            <w:r w:rsidRPr="00070B38">
              <w:rPr>
                <w:rFonts w:ascii="Calibri" w:eastAsia="Times New Roman" w:hAnsi="Calibri" w:cs="Calibri"/>
                <w:color w:val="000000"/>
                <w:lang w:eastAsia="fr-FR"/>
              </w:rPr>
              <w:t>38%</w:t>
            </w:r>
          </w:p>
        </w:tc>
        <w:tc>
          <w:tcPr>
            <w:tcW w:w="563" w:type="pct"/>
            <w:gridSpan w:val="2"/>
            <w:tcBorders>
              <w:top w:val="single" w:sz="4" w:space="0" w:color="auto"/>
              <w:left w:val="nil"/>
              <w:bottom w:val="nil"/>
              <w:right w:val="single" w:sz="4" w:space="0" w:color="auto"/>
            </w:tcBorders>
            <w:shd w:val="clear" w:color="auto" w:fill="auto"/>
            <w:vAlign w:val="bottom"/>
            <w:hideMark/>
          </w:tcPr>
          <w:p w14:paraId="6A011CD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2 484 939</w:t>
            </w:r>
          </w:p>
        </w:tc>
      </w:tr>
      <w:tr w:rsidR="00556896" w:rsidRPr="00070B38" w14:paraId="6C1F4F01" w14:textId="77777777" w:rsidTr="00556896">
        <w:trPr>
          <w:trHeight w:val="319"/>
        </w:trPr>
        <w:tc>
          <w:tcPr>
            <w:tcW w:w="716" w:type="pct"/>
            <w:tcBorders>
              <w:top w:val="nil"/>
              <w:left w:val="single" w:sz="4" w:space="0" w:color="auto"/>
              <w:bottom w:val="single" w:sz="4" w:space="0" w:color="auto"/>
              <w:right w:val="single" w:sz="4" w:space="0" w:color="auto"/>
            </w:tcBorders>
            <w:shd w:val="clear" w:color="auto" w:fill="auto"/>
            <w:vAlign w:val="center"/>
            <w:hideMark/>
          </w:tcPr>
          <w:p w14:paraId="12C264C2"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Total en FCFA</w:t>
            </w:r>
          </w:p>
        </w:tc>
        <w:tc>
          <w:tcPr>
            <w:tcW w:w="1896" w:type="pct"/>
            <w:tcBorders>
              <w:top w:val="nil"/>
              <w:left w:val="nil"/>
              <w:bottom w:val="single" w:sz="4" w:space="0" w:color="auto"/>
              <w:right w:val="single" w:sz="4" w:space="0" w:color="auto"/>
            </w:tcBorders>
            <w:shd w:val="clear" w:color="auto" w:fill="auto"/>
            <w:vAlign w:val="center"/>
            <w:hideMark/>
          </w:tcPr>
          <w:p w14:paraId="46A01442" w14:textId="77777777" w:rsidR="00A2524B" w:rsidRPr="00070B38" w:rsidRDefault="00A2524B" w:rsidP="002B5E84">
            <w:pPr>
              <w:rPr>
                <w:rFonts w:ascii="Calibri" w:eastAsia="Times New Roman" w:hAnsi="Calibri" w:cs="Calibri"/>
                <w:color w:val="000000"/>
                <w:lang w:eastAsia="fr-FR"/>
              </w:rPr>
            </w:pPr>
            <w:r w:rsidRPr="00070B38">
              <w:rPr>
                <w:rFonts w:ascii="Calibri" w:eastAsia="Times New Roman" w:hAnsi="Calibri" w:cs="Calibri"/>
                <w:color w:val="000000"/>
                <w:lang w:eastAsia="fr-FR"/>
              </w:rPr>
              <w:t> </w:t>
            </w:r>
          </w:p>
        </w:tc>
        <w:tc>
          <w:tcPr>
            <w:tcW w:w="728" w:type="pct"/>
            <w:tcBorders>
              <w:top w:val="nil"/>
              <w:left w:val="nil"/>
              <w:bottom w:val="single" w:sz="4" w:space="0" w:color="auto"/>
              <w:right w:val="single" w:sz="4" w:space="0" w:color="auto"/>
            </w:tcBorders>
            <w:shd w:val="clear" w:color="auto" w:fill="auto"/>
            <w:vAlign w:val="bottom"/>
            <w:hideMark/>
          </w:tcPr>
          <w:p w14:paraId="0636012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2 611 197 548</w:t>
            </w:r>
          </w:p>
        </w:tc>
        <w:tc>
          <w:tcPr>
            <w:tcW w:w="638" w:type="pct"/>
            <w:gridSpan w:val="2"/>
            <w:tcBorders>
              <w:top w:val="nil"/>
              <w:left w:val="nil"/>
              <w:bottom w:val="single" w:sz="4" w:space="0" w:color="auto"/>
              <w:right w:val="single" w:sz="4" w:space="0" w:color="auto"/>
            </w:tcBorders>
            <w:shd w:val="clear" w:color="auto" w:fill="auto"/>
            <w:vAlign w:val="bottom"/>
            <w:hideMark/>
          </w:tcPr>
          <w:p w14:paraId="60D6A1C3"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981 184 416</w:t>
            </w:r>
          </w:p>
        </w:tc>
        <w:tc>
          <w:tcPr>
            <w:tcW w:w="458" w:type="pct"/>
            <w:tcBorders>
              <w:top w:val="nil"/>
              <w:left w:val="nil"/>
              <w:bottom w:val="single" w:sz="4" w:space="0" w:color="auto"/>
              <w:right w:val="single" w:sz="4" w:space="0" w:color="auto"/>
            </w:tcBorders>
            <w:shd w:val="clear" w:color="auto" w:fill="auto"/>
            <w:vAlign w:val="bottom"/>
            <w:hideMark/>
          </w:tcPr>
          <w:p w14:paraId="25088DF5"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 </w:t>
            </w:r>
          </w:p>
        </w:tc>
        <w:tc>
          <w:tcPr>
            <w:tcW w:w="563" w:type="pct"/>
            <w:gridSpan w:val="2"/>
            <w:tcBorders>
              <w:top w:val="nil"/>
              <w:left w:val="nil"/>
              <w:bottom w:val="single" w:sz="4" w:space="0" w:color="auto"/>
              <w:right w:val="single" w:sz="4" w:space="0" w:color="auto"/>
            </w:tcBorders>
            <w:shd w:val="clear" w:color="auto" w:fill="auto"/>
            <w:vAlign w:val="bottom"/>
            <w:hideMark/>
          </w:tcPr>
          <w:p w14:paraId="543ABADB" w14:textId="77777777" w:rsidR="00A2524B" w:rsidRPr="00070B38" w:rsidRDefault="00A2524B" w:rsidP="002B5E84">
            <w:pPr>
              <w:jc w:val="right"/>
              <w:rPr>
                <w:rFonts w:ascii="Calibri" w:eastAsia="Times New Roman" w:hAnsi="Calibri" w:cs="Calibri"/>
                <w:color w:val="000000"/>
                <w:lang w:eastAsia="fr-FR"/>
              </w:rPr>
            </w:pPr>
            <w:r w:rsidRPr="00070B38">
              <w:rPr>
                <w:rFonts w:ascii="Calibri" w:eastAsia="Times New Roman" w:hAnsi="Calibri" w:cs="Calibri"/>
                <w:color w:val="000000"/>
                <w:lang w:eastAsia="fr-FR"/>
              </w:rPr>
              <w:t>1 630 013 132</w:t>
            </w:r>
          </w:p>
        </w:tc>
      </w:tr>
      <w:tr w:rsidR="00556896" w:rsidRPr="00070B38" w14:paraId="1542705B" w14:textId="77777777" w:rsidTr="00556896">
        <w:trPr>
          <w:trHeight w:val="319"/>
        </w:trPr>
        <w:tc>
          <w:tcPr>
            <w:tcW w:w="716" w:type="pct"/>
            <w:tcBorders>
              <w:top w:val="nil"/>
              <w:left w:val="nil"/>
              <w:bottom w:val="nil"/>
              <w:right w:val="nil"/>
            </w:tcBorders>
            <w:shd w:val="clear" w:color="auto" w:fill="auto"/>
            <w:vAlign w:val="bottom"/>
            <w:hideMark/>
          </w:tcPr>
          <w:p w14:paraId="0826C557" w14:textId="77777777" w:rsidR="00A2524B" w:rsidRPr="00070B38" w:rsidRDefault="00A2524B" w:rsidP="002B5E84">
            <w:pPr>
              <w:jc w:val="right"/>
              <w:rPr>
                <w:rFonts w:ascii="Calibri" w:eastAsia="Times New Roman" w:hAnsi="Calibri" w:cs="Calibri"/>
                <w:color w:val="000000"/>
                <w:lang w:eastAsia="fr-FR"/>
              </w:rPr>
            </w:pPr>
          </w:p>
        </w:tc>
        <w:tc>
          <w:tcPr>
            <w:tcW w:w="1896" w:type="pct"/>
            <w:tcBorders>
              <w:top w:val="nil"/>
              <w:left w:val="nil"/>
              <w:bottom w:val="nil"/>
              <w:right w:val="nil"/>
            </w:tcBorders>
            <w:shd w:val="clear" w:color="auto" w:fill="auto"/>
            <w:vAlign w:val="bottom"/>
            <w:hideMark/>
          </w:tcPr>
          <w:p w14:paraId="526D4457" w14:textId="77777777" w:rsidR="00A2524B" w:rsidRPr="00070B38" w:rsidRDefault="00A2524B" w:rsidP="002B5E84">
            <w:pPr>
              <w:rPr>
                <w:rFonts w:ascii="Times New Roman" w:eastAsia="Times New Roman" w:hAnsi="Times New Roman" w:cs="Times New Roman"/>
                <w:sz w:val="20"/>
                <w:szCs w:val="20"/>
                <w:lang w:eastAsia="fr-FR"/>
              </w:rPr>
            </w:pPr>
          </w:p>
        </w:tc>
        <w:tc>
          <w:tcPr>
            <w:tcW w:w="728" w:type="pct"/>
            <w:tcBorders>
              <w:top w:val="nil"/>
              <w:left w:val="nil"/>
              <w:bottom w:val="nil"/>
              <w:right w:val="nil"/>
            </w:tcBorders>
            <w:shd w:val="clear" w:color="auto" w:fill="auto"/>
            <w:vAlign w:val="bottom"/>
            <w:hideMark/>
          </w:tcPr>
          <w:p w14:paraId="44E39E1D" w14:textId="77777777" w:rsidR="00A2524B" w:rsidRPr="00070B38" w:rsidRDefault="00A2524B" w:rsidP="002B5E84">
            <w:pPr>
              <w:rPr>
                <w:rFonts w:ascii="Times New Roman" w:eastAsia="Times New Roman" w:hAnsi="Times New Roman" w:cs="Times New Roman"/>
                <w:sz w:val="20"/>
                <w:szCs w:val="20"/>
                <w:lang w:eastAsia="fr-FR"/>
              </w:rPr>
            </w:pPr>
          </w:p>
        </w:tc>
        <w:tc>
          <w:tcPr>
            <w:tcW w:w="638" w:type="pct"/>
            <w:gridSpan w:val="2"/>
            <w:tcBorders>
              <w:top w:val="nil"/>
              <w:left w:val="nil"/>
              <w:bottom w:val="nil"/>
              <w:right w:val="nil"/>
            </w:tcBorders>
            <w:shd w:val="clear" w:color="auto" w:fill="auto"/>
            <w:vAlign w:val="bottom"/>
            <w:hideMark/>
          </w:tcPr>
          <w:p w14:paraId="6B359693" w14:textId="77777777" w:rsidR="00A2524B" w:rsidRPr="00070B38" w:rsidRDefault="00A2524B" w:rsidP="002B5E84">
            <w:pPr>
              <w:rPr>
                <w:rFonts w:ascii="Times New Roman" w:eastAsia="Times New Roman" w:hAnsi="Times New Roman" w:cs="Times New Roman"/>
                <w:sz w:val="20"/>
                <w:szCs w:val="20"/>
                <w:lang w:eastAsia="fr-FR"/>
              </w:rPr>
            </w:pPr>
          </w:p>
        </w:tc>
        <w:tc>
          <w:tcPr>
            <w:tcW w:w="458" w:type="pct"/>
            <w:tcBorders>
              <w:top w:val="nil"/>
              <w:left w:val="nil"/>
              <w:bottom w:val="nil"/>
              <w:right w:val="nil"/>
            </w:tcBorders>
            <w:shd w:val="clear" w:color="auto" w:fill="auto"/>
            <w:vAlign w:val="bottom"/>
            <w:hideMark/>
          </w:tcPr>
          <w:p w14:paraId="01DE6FA8" w14:textId="77777777" w:rsidR="00A2524B" w:rsidRPr="00070B38" w:rsidRDefault="00A2524B" w:rsidP="002B5E84">
            <w:pPr>
              <w:rPr>
                <w:rFonts w:ascii="Times New Roman" w:eastAsia="Times New Roman" w:hAnsi="Times New Roman" w:cs="Times New Roman"/>
                <w:sz w:val="20"/>
                <w:szCs w:val="20"/>
                <w:lang w:eastAsia="fr-FR"/>
              </w:rPr>
            </w:pPr>
          </w:p>
        </w:tc>
        <w:tc>
          <w:tcPr>
            <w:tcW w:w="563" w:type="pct"/>
            <w:gridSpan w:val="2"/>
            <w:tcBorders>
              <w:top w:val="nil"/>
              <w:left w:val="nil"/>
              <w:bottom w:val="nil"/>
              <w:right w:val="nil"/>
            </w:tcBorders>
            <w:shd w:val="clear" w:color="auto" w:fill="auto"/>
            <w:vAlign w:val="bottom"/>
            <w:hideMark/>
          </w:tcPr>
          <w:p w14:paraId="4D6E2306" w14:textId="77777777" w:rsidR="00A2524B" w:rsidRPr="00070B38" w:rsidRDefault="00A2524B" w:rsidP="002B5E84">
            <w:pPr>
              <w:rPr>
                <w:rFonts w:ascii="Times New Roman" w:eastAsia="Times New Roman" w:hAnsi="Times New Roman" w:cs="Times New Roman"/>
                <w:sz w:val="20"/>
                <w:szCs w:val="20"/>
                <w:lang w:eastAsia="fr-FR"/>
              </w:rPr>
            </w:pPr>
          </w:p>
        </w:tc>
      </w:tr>
    </w:tbl>
    <w:p w14:paraId="73BB81CD" w14:textId="77777777" w:rsidR="00A2524B" w:rsidRDefault="00A2524B" w:rsidP="00A85378">
      <w:pPr>
        <w:jc w:val="both"/>
        <w:rPr>
          <w:rFonts w:cs="Calibri"/>
          <w:b/>
          <w:bCs/>
          <w:color w:val="000000"/>
        </w:rPr>
      </w:pPr>
    </w:p>
    <w:p w14:paraId="1BB7B0A5" w14:textId="77777777" w:rsidR="00696EA7" w:rsidRDefault="00696EA7" w:rsidP="009D11E8">
      <w:pPr>
        <w:spacing w:line="276" w:lineRule="auto"/>
        <w:jc w:val="both"/>
        <w:rPr>
          <w:rFonts w:cs="Calibri"/>
          <w:b/>
          <w:bCs/>
          <w:color w:val="000000"/>
          <w:sz w:val="28"/>
          <w:szCs w:val="28"/>
        </w:rPr>
        <w:sectPr w:rsidR="00696EA7" w:rsidSect="004D7895">
          <w:pgSz w:w="16840" w:h="11900" w:orient="landscape"/>
          <w:pgMar w:top="1417" w:right="1417" w:bottom="1417" w:left="1417" w:header="708" w:footer="708" w:gutter="0"/>
          <w:pgNumType w:start="0"/>
          <w:cols w:space="708"/>
          <w:titlePg/>
          <w:docGrid w:linePitch="360"/>
        </w:sectPr>
      </w:pPr>
    </w:p>
    <w:p w14:paraId="4AAF3644" w14:textId="138B7AED" w:rsidR="00B6537E" w:rsidRPr="00A85378" w:rsidRDefault="009F53D0" w:rsidP="009D11E8">
      <w:pPr>
        <w:spacing w:line="276" w:lineRule="auto"/>
        <w:jc w:val="both"/>
        <w:rPr>
          <w:rFonts w:cs="Calibri"/>
          <w:color w:val="000000"/>
        </w:rPr>
      </w:pPr>
      <w:r w:rsidRPr="00556896">
        <w:rPr>
          <w:rFonts w:cs="Calibri"/>
          <w:b/>
          <w:bCs/>
          <w:color w:val="000000"/>
          <w:sz w:val="28"/>
          <w:szCs w:val="28"/>
        </w:rPr>
        <w:lastRenderedPageBreak/>
        <w:t>Les points d’attention</w:t>
      </w:r>
      <w:r w:rsidRPr="00556896">
        <w:rPr>
          <w:rFonts w:cs="Calibri"/>
          <w:color w:val="000000"/>
          <w:sz w:val="28"/>
          <w:szCs w:val="28"/>
        </w:rPr>
        <w:t xml:space="preserve"> </w:t>
      </w:r>
      <w:r>
        <w:rPr>
          <w:rFonts w:cs="Calibri"/>
          <w:color w:val="000000"/>
        </w:rPr>
        <w:t xml:space="preserve">concernent </w:t>
      </w:r>
      <w:r w:rsidR="005B724B" w:rsidRPr="00A85378">
        <w:rPr>
          <w:rFonts w:cs="Calibri"/>
          <w:color w:val="000000"/>
        </w:rPr>
        <w:t xml:space="preserve">d’une part </w:t>
      </w:r>
      <w:r>
        <w:rPr>
          <w:rFonts w:cs="Calibri"/>
          <w:color w:val="000000"/>
        </w:rPr>
        <w:t>les</w:t>
      </w:r>
      <w:r w:rsidR="005B724B" w:rsidRPr="00A85378">
        <w:rPr>
          <w:rFonts w:cs="Calibri"/>
          <w:color w:val="000000"/>
        </w:rPr>
        <w:t xml:space="preserve"> indicateurs </w:t>
      </w:r>
      <w:r w:rsidR="00A44588" w:rsidRPr="00A85378">
        <w:rPr>
          <w:rFonts w:cs="Calibri"/>
          <w:color w:val="000000"/>
        </w:rPr>
        <w:t>où le CEA n’a pas été performant</w:t>
      </w:r>
      <w:r w:rsidR="0017229E" w:rsidRPr="00A85378">
        <w:rPr>
          <w:rFonts w:cs="Calibri"/>
          <w:color w:val="000000"/>
        </w:rPr>
        <w:t xml:space="preserve"> </w:t>
      </w:r>
      <w:r w:rsidR="005B724B" w:rsidRPr="00A85378">
        <w:rPr>
          <w:rFonts w:cs="Calibri"/>
          <w:color w:val="000000"/>
        </w:rPr>
        <w:t>pour</w:t>
      </w:r>
      <w:r w:rsidR="0017229E" w:rsidRPr="00A85378">
        <w:rPr>
          <w:rFonts w:cs="Calibri"/>
          <w:color w:val="000000"/>
        </w:rPr>
        <w:t xml:space="preserve"> mobilis</w:t>
      </w:r>
      <w:r w:rsidR="005B724B" w:rsidRPr="00A85378">
        <w:rPr>
          <w:rFonts w:cs="Calibri"/>
          <w:color w:val="000000"/>
        </w:rPr>
        <w:t>er</w:t>
      </w:r>
      <w:r w:rsidR="0017229E" w:rsidRPr="00A85378">
        <w:rPr>
          <w:rFonts w:cs="Calibri"/>
          <w:color w:val="000000"/>
        </w:rPr>
        <w:t xml:space="preserve"> </w:t>
      </w:r>
      <w:r w:rsidR="005B724B" w:rsidRPr="00A85378">
        <w:rPr>
          <w:rFonts w:cs="Calibri"/>
          <w:color w:val="000000"/>
        </w:rPr>
        <w:t>l</w:t>
      </w:r>
      <w:r w:rsidR="0017229E" w:rsidRPr="00A85378">
        <w:rPr>
          <w:rFonts w:cs="Calibri"/>
          <w:color w:val="000000"/>
        </w:rPr>
        <w:t>es fonds (</w:t>
      </w:r>
      <w:r w:rsidR="00A85378">
        <w:rPr>
          <w:rFonts w:cs="Calibri"/>
          <w:color w:val="000000"/>
        </w:rPr>
        <w:t>R</w:t>
      </w:r>
      <w:r w:rsidR="0017229E" w:rsidRPr="00A85378">
        <w:rPr>
          <w:rFonts w:cs="Calibri"/>
          <w:color w:val="000000"/>
        </w:rPr>
        <w:t xml:space="preserve">LD) </w:t>
      </w:r>
      <w:r w:rsidR="005B724B" w:rsidRPr="00A85378">
        <w:rPr>
          <w:rFonts w:cs="Calibri"/>
          <w:color w:val="000000"/>
        </w:rPr>
        <w:t xml:space="preserve">et </w:t>
      </w:r>
      <w:r w:rsidR="00A2524B">
        <w:rPr>
          <w:rFonts w:cs="Calibri"/>
          <w:color w:val="000000"/>
        </w:rPr>
        <w:t xml:space="preserve">d’autre part, </w:t>
      </w:r>
      <w:r w:rsidR="005B724B" w:rsidRPr="00A85378">
        <w:rPr>
          <w:rFonts w:cs="Calibri"/>
          <w:color w:val="000000"/>
        </w:rPr>
        <w:t xml:space="preserve">les activités du PTBA </w:t>
      </w:r>
      <w:r w:rsidR="00A85378" w:rsidRPr="00A85378">
        <w:rPr>
          <w:rFonts w:cs="Calibri"/>
          <w:color w:val="000000"/>
        </w:rPr>
        <w:t>où les niveaux de dépenses ont été faible</w:t>
      </w:r>
      <w:r w:rsidR="00C42E75">
        <w:rPr>
          <w:rFonts w:cs="Calibri"/>
          <w:color w:val="000000"/>
        </w:rPr>
        <w:t>s</w:t>
      </w:r>
      <w:r w:rsidR="00A85378" w:rsidRPr="00A85378">
        <w:rPr>
          <w:rFonts w:cs="Calibri"/>
          <w:color w:val="000000"/>
        </w:rPr>
        <w:t>.</w:t>
      </w:r>
      <w:r w:rsidR="0017229E" w:rsidRPr="00A85378">
        <w:rPr>
          <w:rFonts w:cs="Calibri"/>
          <w:color w:val="000000"/>
        </w:rPr>
        <w:t xml:space="preserve"> </w:t>
      </w:r>
      <w:r w:rsidR="00A85378" w:rsidRPr="00A85378">
        <w:rPr>
          <w:rFonts w:cs="Calibri"/>
          <w:color w:val="000000"/>
        </w:rPr>
        <w:t>L</w:t>
      </w:r>
      <w:r w:rsidR="0017229E" w:rsidRPr="00A85378">
        <w:rPr>
          <w:rFonts w:cs="Calibri"/>
          <w:color w:val="000000"/>
        </w:rPr>
        <w:t>es marchés engagés ont été évoqués</w:t>
      </w:r>
      <w:r w:rsidR="00D01C98" w:rsidRPr="00A85378">
        <w:rPr>
          <w:rFonts w:cs="Calibri"/>
          <w:color w:val="000000"/>
        </w:rPr>
        <w:t xml:space="preserve">. </w:t>
      </w:r>
      <w:r w:rsidR="00C42E75">
        <w:rPr>
          <w:rFonts w:cs="Calibri"/>
          <w:color w:val="000000"/>
        </w:rPr>
        <w:t xml:space="preserve">Chaque </w:t>
      </w:r>
      <w:r w:rsidR="00A85378">
        <w:rPr>
          <w:rFonts w:cs="Calibri"/>
          <w:color w:val="000000"/>
        </w:rPr>
        <w:t xml:space="preserve">point d’attention </w:t>
      </w:r>
      <w:r w:rsidR="00C42E75">
        <w:rPr>
          <w:rFonts w:cs="Calibri"/>
          <w:color w:val="000000"/>
        </w:rPr>
        <w:t>est</w:t>
      </w:r>
      <w:r w:rsidR="00A85378">
        <w:rPr>
          <w:rFonts w:cs="Calibri"/>
          <w:color w:val="000000"/>
        </w:rPr>
        <w:t xml:space="preserve"> </w:t>
      </w:r>
      <w:r w:rsidR="00C42E75">
        <w:rPr>
          <w:rFonts w:cs="Calibri"/>
          <w:color w:val="000000"/>
        </w:rPr>
        <w:t>souligné,</w:t>
      </w:r>
      <w:r w:rsidR="00A85378">
        <w:rPr>
          <w:rFonts w:cs="Calibri"/>
          <w:color w:val="000000"/>
        </w:rPr>
        <w:t xml:space="preserve"> l</w:t>
      </w:r>
      <w:r w:rsidR="00C42E75">
        <w:rPr>
          <w:rFonts w:cs="Calibri"/>
          <w:color w:val="000000"/>
        </w:rPr>
        <w:t>a</w:t>
      </w:r>
      <w:r w:rsidR="00A85378">
        <w:rPr>
          <w:rFonts w:cs="Calibri"/>
          <w:color w:val="000000"/>
        </w:rPr>
        <w:t xml:space="preserve"> nature </w:t>
      </w:r>
      <w:r w:rsidR="00C42E75">
        <w:rPr>
          <w:rFonts w:cs="Calibri"/>
          <w:color w:val="000000"/>
        </w:rPr>
        <w:t>de l’intervention évoquée</w:t>
      </w:r>
      <w:r w:rsidR="00A85378">
        <w:rPr>
          <w:rFonts w:cs="Calibri"/>
          <w:color w:val="000000"/>
        </w:rPr>
        <w:t xml:space="preserve"> </w:t>
      </w:r>
      <w:r w:rsidR="00C42E75">
        <w:rPr>
          <w:rFonts w:cs="Calibri"/>
          <w:color w:val="000000"/>
        </w:rPr>
        <w:t xml:space="preserve">ainsi que le délai. </w:t>
      </w:r>
      <w:r w:rsidR="00542B1D" w:rsidRPr="00A85378">
        <w:rPr>
          <w:rFonts w:cs="Calibri"/>
          <w:color w:val="000000"/>
        </w:rPr>
        <w:t>Pour montrer l’effectivité de certaines activités en cours </w:t>
      </w:r>
      <w:r w:rsidR="00200FF0" w:rsidRPr="00A85378">
        <w:rPr>
          <w:rFonts w:cs="Calibri"/>
          <w:color w:val="000000"/>
        </w:rPr>
        <w:t>,</w:t>
      </w:r>
      <w:r w:rsidR="00542B1D" w:rsidRPr="00A85378">
        <w:rPr>
          <w:rFonts w:cs="Calibri"/>
          <w:color w:val="000000"/>
        </w:rPr>
        <w:t xml:space="preserve"> les </w:t>
      </w:r>
      <w:r w:rsidR="00C42E75">
        <w:rPr>
          <w:rFonts w:cs="Calibri"/>
          <w:color w:val="000000"/>
        </w:rPr>
        <w:t>arguments</w:t>
      </w:r>
      <w:r w:rsidR="00542B1D" w:rsidRPr="00A85378">
        <w:rPr>
          <w:rFonts w:cs="Calibri"/>
          <w:color w:val="000000"/>
        </w:rPr>
        <w:t xml:space="preserve"> relatés sont étayés par des éléments probants (</w:t>
      </w:r>
      <w:r w:rsidR="00C42E75">
        <w:rPr>
          <w:rFonts w:cs="Calibri"/>
          <w:color w:val="000000"/>
        </w:rPr>
        <w:t>placés en annexe) :</w:t>
      </w:r>
    </w:p>
    <w:p w14:paraId="26772DA7" w14:textId="77777777" w:rsidR="00B6537E" w:rsidRPr="00BF13A3" w:rsidRDefault="00B6537E" w:rsidP="009D11E8">
      <w:pPr>
        <w:spacing w:line="276" w:lineRule="auto"/>
        <w:rPr>
          <w:rFonts w:ascii="Times New Roman" w:hAnsi="Times New Roman" w:cs="Times New Roman"/>
        </w:rPr>
      </w:pPr>
    </w:p>
    <w:p w14:paraId="7B601066" w14:textId="31233B68" w:rsidR="006B29D4" w:rsidRPr="00BF13A3" w:rsidRDefault="006B29D4" w:rsidP="009D11E8">
      <w:pPr>
        <w:spacing w:line="276" w:lineRule="auto"/>
        <w:ind w:left="708"/>
        <w:rPr>
          <w:rFonts w:ascii="Times New Roman" w:eastAsia="Times New Roman" w:hAnsi="Times New Roman" w:cs="Times New Roman"/>
          <w:b/>
          <w:bCs/>
          <w:i/>
          <w:iCs/>
          <w:color w:val="000000"/>
          <w:lang w:eastAsia="fr-FR"/>
        </w:rPr>
      </w:pPr>
      <w:r w:rsidRPr="00BF13A3">
        <w:rPr>
          <w:rFonts w:ascii="Times New Roman" w:eastAsia="Times New Roman" w:hAnsi="Times New Roman" w:cs="Times New Roman"/>
          <w:b/>
          <w:bCs/>
          <w:i/>
          <w:iCs/>
          <w:color w:val="000000"/>
          <w:lang w:eastAsia="fr-FR"/>
        </w:rPr>
        <w:t xml:space="preserve">RLD3.3: Nouveaux étudiants nationaux en formation de courte durée éligibles </w:t>
      </w:r>
    </w:p>
    <w:p w14:paraId="5D124A64" w14:textId="77777777" w:rsidR="006B29D4" w:rsidRPr="00BF13A3" w:rsidRDefault="006B29D4" w:rsidP="009D11E8">
      <w:pPr>
        <w:spacing w:line="276" w:lineRule="auto"/>
        <w:rPr>
          <w:rFonts w:ascii="Times New Roman" w:eastAsia="Times New Roman" w:hAnsi="Times New Roman" w:cs="Times New Roman"/>
          <w:color w:val="000000"/>
          <w:lang w:eastAsia="fr-FR"/>
        </w:rPr>
      </w:pPr>
    </w:p>
    <w:p w14:paraId="11B40B68" w14:textId="56E525F3" w:rsidR="00690A76" w:rsidRPr="00BF13A3" w:rsidRDefault="00783881" w:rsidP="009D11E8">
      <w:pPr>
        <w:spacing w:line="276" w:lineRule="auto"/>
        <w:jc w:val="both"/>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L’</w:t>
      </w:r>
      <w:r w:rsidR="00FB6C92" w:rsidRPr="00BF13A3">
        <w:rPr>
          <w:rFonts w:ascii="Times New Roman" w:eastAsia="Times New Roman" w:hAnsi="Times New Roman" w:cs="Times New Roman"/>
          <w:color w:val="000000"/>
          <w:lang w:eastAsia="fr-FR"/>
        </w:rPr>
        <w:t>accélération</w:t>
      </w:r>
      <w:r w:rsidRPr="00BF13A3">
        <w:rPr>
          <w:rFonts w:ascii="Times New Roman" w:eastAsia="Times New Roman" w:hAnsi="Times New Roman" w:cs="Times New Roman"/>
          <w:color w:val="000000"/>
          <w:lang w:eastAsia="fr-FR"/>
        </w:rPr>
        <w:t xml:space="preserve"> de ce processus se fera à travers le l</w:t>
      </w:r>
      <w:r w:rsidR="006B29D4" w:rsidRPr="00BF13A3">
        <w:rPr>
          <w:rFonts w:ascii="Times New Roman" w:eastAsia="Times New Roman" w:hAnsi="Times New Roman" w:cs="Times New Roman"/>
          <w:color w:val="000000"/>
          <w:lang w:eastAsia="fr-FR"/>
        </w:rPr>
        <w:t>ancement d’un appel d’offre</w:t>
      </w:r>
      <w:r w:rsidR="007C5988">
        <w:rPr>
          <w:rFonts w:ascii="Times New Roman" w:eastAsia="Times New Roman" w:hAnsi="Times New Roman" w:cs="Times New Roman"/>
          <w:color w:val="000000"/>
          <w:lang w:eastAsia="fr-FR"/>
        </w:rPr>
        <w:t>s</w:t>
      </w:r>
      <w:r w:rsidR="006B29D4" w:rsidRPr="00BF13A3">
        <w:rPr>
          <w:rFonts w:ascii="Times New Roman" w:eastAsia="Times New Roman" w:hAnsi="Times New Roman" w:cs="Times New Roman"/>
          <w:color w:val="000000"/>
          <w:lang w:eastAsia="fr-FR"/>
        </w:rPr>
        <w:t xml:space="preserve"> pour l’élaboration de programmes de formation courte durée </w:t>
      </w:r>
      <w:r w:rsidR="00FB6C92" w:rsidRPr="00BF13A3">
        <w:rPr>
          <w:rFonts w:ascii="Times New Roman" w:eastAsia="Times New Roman" w:hAnsi="Times New Roman" w:cs="Times New Roman"/>
          <w:color w:val="000000"/>
          <w:lang w:eastAsia="fr-FR"/>
        </w:rPr>
        <w:t>pour les institutions membres du consortium</w:t>
      </w:r>
      <w:r w:rsidR="005D7D74">
        <w:rPr>
          <w:rFonts w:ascii="Times New Roman" w:eastAsia="Times New Roman" w:hAnsi="Times New Roman" w:cs="Times New Roman"/>
          <w:color w:val="000000"/>
          <w:lang w:eastAsia="fr-FR"/>
        </w:rPr>
        <w:t xml:space="preserve"> </w:t>
      </w:r>
      <w:r w:rsidR="00F11A20">
        <w:rPr>
          <w:rFonts w:ascii="Times New Roman" w:eastAsia="Times New Roman" w:hAnsi="Times New Roman" w:cs="Times New Roman"/>
          <w:color w:val="000000"/>
          <w:lang w:eastAsia="fr-FR"/>
        </w:rPr>
        <w:t xml:space="preserve">au courant du mois de </w:t>
      </w:r>
      <w:r w:rsidR="00F11A20" w:rsidRPr="00BF13A3">
        <w:rPr>
          <w:rFonts w:ascii="Times New Roman" w:eastAsia="Times New Roman" w:hAnsi="Times New Roman" w:cs="Times New Roman"/>
          <w:color w:val="000000"/>
          <w:lang w:eastAsia="fr-FR"/>
        </w:rPr>
        <w:t xml:space="preserve"> </w:t>
      </w:r>
      <w:r w:rsidR="00FB6C92" w:rsidRPr="00BF13A3">
        <w:rPr>
          <w:rFonts w:ascii="Times New Roman" w:eastAsia="Times New Roman" w:hAnsi="Times New Roman" w:cs="Times New Roman"/>
          <w:color w:val="000000"/>
          <w:lang w:eastAsia="fr-FR"/>
        </w:rPr>
        <w:t>mai</w:t>
      </w:r>
      <w:r w:rsidR="005D7D74">
        <w:rPr>
          <w:rFonts w:ascii="Times New Roman" w:eastAsia="Times New Roman" w:hAnsi="Times New Roman" w:cs="Times New Roman"/>
          <w:color w:val="000000"/>
          <w:lang w:eastAsia="fr-FR"/>
        </w:rPr>
        <w:t xml:space="preserve"> 2022</w:t>
      </w:r>
      <w:r w:rsidR="00FB6C92" w:rsidRPr="00BF13A3">
        <w:rPr>
          <w:rFonts w:ascii="Times New Roman" w:eastAsia="Times New Roman" w:hAnsi="Times New Roman" w:cs="Times New Roman"/>
          <w:color w:val="000000"/>
          <w:lang w:eastAsia="fr-FR"/>
        </w:rPr>
        <w:t>. O</w:t>
      </w:r>
      <w:r w:rsidR="00690A76" w:rsidRPr="00BF13A3">
        <w:rPr>
          <w:rFonts w:ascii="Times New Roman" w:eastAsia="Times New Roman" w:hAnsi="Times New Roman" w:cs="Times New Roman"/>
          <w:color w:val="000000"/>
          <w:lang w:eastAsia="fr-FR"/>
        </w:rPr>
        <w:t xml:space="preserve">bligation </w:t>
      </w:r>
      <w:r w:rsidR="00FB6C92" w:rsidRPr="00BF13A3">
        <w:rPr>
          <w:rFonts w:ascii="Times New Roman" w:eastAsia="Times New Roman" w:hAnsi="Times New Roman" w:cs="Times New Roman"/>
          <w:color w:val="000000"/>
          <w:lang w:eastAsia="fr-FR"/>
        </w:rPr>
        <w:t>sera faite</w:t>
      </w:r>
      <w:r w:rsidR="00690A76" w:rsidRPr="00BF13A3">
        <w:rPr>
          <w:rFonts w:ascii="Times New Roman" w:eastAsia="Times New Roman" w:hAnsi="Times New Roman" w:cs="Times New Roman"/>
          <w:color w:val="000000"/>
          <w:lang w:eastAsia="fr-FR"/>
        </w:rPr>
        <w:t xml:space="preserve"> pour chaque programme </w:t>
      </w:r>
      <w:r w:rsidR="00FB6C92" w:rsidRPr="00BF13A3">
        <w:rPr>
          <w:rFonts w:ascii="Times New Roman" w:eastAsia="Times New Roman" w:hAnsi="Times New Roman" w:cs="Times New Roman"/>
          <w:color w:val="000000"/>
          <w:lang w:eastAsia="fr-FR"/>
        </w:rPr>
        <w:t xml:space="preserve">soutenu de dérouler au moins une formation </w:t>
      </w:r>
      <w:r w:rsidR="00690A76" w:rsidRPr="00BF13A3">
        <w:rPr>
          <w:rFonts w:ascii="Times New Roman" w:eastAsia="Times New Roman" w:hAnsi="Times New Roman" w:cs="Times New Roman"/>
          <w:color w:val="000000"/>
          <w:lang w:eastAsia="fr-FR"/>
        </w:rPr>
        <w:t xml:space="preserve">d’ici novembre avec </w:t>
      </w:r>
      <w:r w:rsidR="00FB6C92" w:rsidRPr="00BF13A3">
        <w:rPr>
          <w:rFonts w:ascii="Times New Roman" w:eastAsia="Times New Roman" w:hAnsi="Times New Roman" w:cs="Times New Roman"/>
          <w:color w:val="000000"/>
          <w:lang w:eastAsia="fr-FR"/>
        </w:rPr>
        <w:t xml:space="preserve">un </w:t>
      </w:r>
      <w:r w:rsidR="007C5988">
        <w:rPr>
          <w:rFonts w:ascii="Times New Roman" w:eastAsia="Times New Roman" w:hAnsi="Times New Roman" w:cs="Times New Roman"/>
          <w:color w:val="000000"/>
          <w:lang w:eastAsia="fr-FR"/>
        </w:rPr>
        <w:t>transfert</w:t>
      </w:r>
      <w:r w:rsidR="007C5988" w:rsidRPr="00BF13A3">
        <w:rPr>
          <w:rFonts w:ascii="Times New Roman" w:eastAsia="Times New Roman" w:hAnsi="Times New Roman" w:cs="Times New Roman"/>
          <w:color w:val="000000"/>
          <w:lang w:eastAsia="fr-FR"/>
        </w:rPr>
        <w:t xml:space="preserve"> </w:t>
      </w:r>
      <w:r w:rsidR="00FB6C92" w:rsidRPr="00BF13A3">
        <w:rPr>
          <w:rFonts w:ascii="Times New Roman" w:eastAsia="Times New Roman" w:hAnsi="Times New Roman" w:cs="Times New Roman"/>
          <w:color w:val="000000"/>
          <w:lang w:eastAsia="fr-FR"/>
        </w:rPr>
        <w:t>du</w:t>
      </w:r>
      <w:r w:rsidR="00690A76" w:rsidRPr="00BF13A3">
        <w:rPr>
          <w:rFonts w:ascii="Times New Roman" w:eastAsia="Times New Roman" w:hAnsi="Times New Roman" w:cs="Times New Roman"/>
          <w:color w:val="000000"/>
          <w:lang w:eastAsia="fr-FR"/>
        </w:rPr>
        <w:t xml:space="preserve"> revenu généré </w:t>
      </w:r>
      <w:r w:rsidR="00FB6C92" w:rsidRPr="00BF13A3">
        <w:rPr>
          <w:rFonts w:ascii="Times New Roman" w:eastAsia="Times New Roman" w:hAnsi="Times New Roman" w:cs="Times New Roman"/>
          <w:color w:val="000000"/>
          <w:lang w:eastAsia="fr-FR"/>
        </w:rPr>
        <w:t>à travers</w:t>
      </w:r>
      <w:r w:rsidR="00690A76" w:rsidRPr="00BF13A3">
        <w:rPr>
          <w:rFonts w:ascii="Times New Roman" w:eastAsia="Times New Roman" w:hAnsi="Times New Roman" w:cs="Times New Roman"/>
          <w:color w:val="000000"/>
          <w:lang w:eastAsia="fr-FR"/>
        </w:rPr>
        <w:t xml:space="preserve"> les comptes du CEA</w:t>
      </w:r>
      <w:r w:rsidR="00A5630C">
        <w:rPr>
          <w:rFonts w:ascii="Times New Roman" w:eastAsia="Times New Roman" w:hAnsi="Times New Roman" w:cs="Times New Roman"/>
          <w:color w:val="000000"/>
          <w:lang w:eastAsia="fr-FR"/>
        </w:rPr>
        <w:t>. Le CEA-AGRISAN vient d’a</w:t>
      </w:r>
      <w:r w:rsidR="00CC6BE8">
        <w:rPr>
          <w:rFonts w:ascii="Times New Roman" w:eastAsia="Times New Roman" w:hAnsi="Times New Roman" w:cs="Times New Roman"/>
          <w:color w:val="000000"/>
          <w:lang w:eastAsia="fr-FR"/>
        </w:rPr>
        <w:t>c</w:t>
      </w:r>
      <w:r w:rsidR="00A5630C">
        <w:rPr>
          <w:rFonts w:ascii="Times New Roman" w:eastAsia="Times New Roman" w:hAnsi="Times New Roman" w:cs="Times New Roman"/>
          <w:color w:val="000000"/>
          <w:lang w:eastAsia="fr-FR"/>
        </w:rPr>
        <w:t xml:space="preserve">quérir </w:t>
      </w:r>
      <w:r w:rsidR="00CC6BE8">
        <w:rPr>
          <w:rFonts w:ascii="Times New Roman" w:eastAsia="Times New Roman" w:hAnsi="Times New Roman" w:cs="Times New Roman"/>
          <w:color w:val="000000"/>
          <w:lang w:eastAsia="fr-FR"/>
        </w:rPr>
        <w:t>des licences zoom</w:t>
      </w:r>
      <w:r w:rsidR="006D685F">
        <w:rPr>
          <w:rFonts w:ascii="Times New Roman" w:eastAsia="Times New Roman" w:hAnsi="Times New Roman" w:cs="Times New Roman"/>
          <w:color w:val="000000"/>
          <w:lang w:eastAsia="fr-FR"/>
        </w:rPr>
        <w:t xml:space="preserve"> et Ms </w:t>
      </w:r>
      <w:r w:rsidR="007C5988">
        <w:rPr>
          <w:rFonts w:ascii="Times New Roman" w:eastAsia="Times New Roman" w:hAnsi="Times New Roman" w:cs="Times New Roman"/>
          <w:color w:val="000000"/>
          <w:lang w:eastAsia="fr-FR"/>
        </w:rPr>
        <w:t xml:space="preserve">Project </w:t>
      </w:r>
      <w:r w:rsidR="006D685F">
        <w:rPr>
          <w:rFonts w:ascii="Times New Roman" w:eastAsia="Times New Roman" w:hAnsi="Times New Roman" w:cs="Times New Roman"/>
          <w:color w:val="000000"/>
          <w:lang w:eastAsia="fr-FR"/>
        </w:rPr>
        <w:t>3 127 300</w:t>
      </w:r>
      <w:r w:rsidR="007C5988">
        <w:rPr>
          <w:rFonts w:ascii="Times New Roman" w:eastAsia="Times New Roman" w:hAnsi="Times New Roman" w:cs="Times New Roman"/>
          <w:color w:val="000000"/>
          <w:lang w:eastAsia="fr-FR"/>
        </w:rPr>
        <w:t> </w:t>
      </w:r>
      <w:r w:rsidR="00A46ADE">
        <w:rPr>
          <w:rFonts w:ascii="Times New Roman" w:eastAsia="Times New Roman" w:hAnsi="Times New Roman" w:cs="Times New Roman"/>
          <w:color w:val="000000"/>
          <w:lang w:eastAsia="fr-FR"/>
        </w:rPr>
        <w:t>Frs CFA</w:t>
      </w:r>
      <w:r w:rsidR="006D685F">
        <w:rPr>
          <w:rFonts w:ascii="Times New Roman" w:eastAsia="Times New Roman" w:hAnsi="Times New Roman" w:cs="Times New Roman"/>
          <w:color w:val="000000"/>
          <w:lang w:eastAsia="fr-FR"/>
        </w:rPr>
        <w:t xml:space="preserve">) </w:t>
      </w:r>
      <w:r w:rsidR="00CC6BE8">
        <w:rPr>
          <w:rFonts w:ascii="Times New Roman" w:eastAsia="Times New Roman" w:hAnsi="Times New Roman" w:cs="Times New Roman"/>
          <w:color w:val="000000"/>
          <w:lang w:eastAsia="fr-FR"/>
        </w:rPr>
        <w:t>et 5 unités de visio</w:t>
      </w:r>
      <w:r w:rsidR="00B6457D">
        <w:rPr>
          <w:rFonts w:ascii="Times New Roman" w:eastAsia="Times New Roman" w:hAnsi="Times New Roman" w:cs="Times New Roman"/>
          <w:color w:val="000000"/>
          <w:lang w:eastAsia="fr-FR"/>
        </w:rPr>
        <w:t>-</w:t>
      </w:r>
      <w:r w:rsidR="00CC6BE8">
        <w:rPr>
          <w:rFonts w:ascii="Times New Roman" w:eastAsia="Times New Roman" w:hAnsi="Times New Roman" w:cs="Times New Roman"/>
          <w:color w:val="000000"/>
          <w:lang w:eastAsia="fr-FR"/>
        </w:rPr>
        <w:t>conférences</w:t>
      </w:r>
      <w:r w:rsidR="006D685F">
        <w:rPr>
          <w:rFonts w:ascii="Times New Roman" w:eastAsia="Times New Roman" w:hAnsi="Times New Roman" w:cs="Times New Roman"/>
          <w:color w:val="000000"/>
          <w:lang w:eastAsia="fr-FR"/>
        </w:rPr>
        <w:t>(16 451 404</w:t>
      </w:r>
      <w:r w:rsidR="007C5988">
        <w:rPr>
          <w:rFonts w:ascii="Times New Roman" w:eastAsia="Times New Roman" w:hAnsi="Times New Roman" w:cs="Times New Roman"/>
          <w:color w:val="000000"/>
          <w:lang w:eastAsia="fr-FR"/>
        </w:rPr>
        <w:t xml:space="preserve"> </w:t>
      </w:r>
      <w:r w:rsidR="00A46ADE">
        <w:rPr>
          <w:rFonts w:ascii="Times New Roman" w:eastAsia="Times New Roman" w:hAnsi="Times New Roman" w:cs="Times New Roman"/>
          <w:color w:val="000000"/>
          <w:lang w:eastAsia="fr-FR"/>
        </w:rPr>
        <w:t xml:space="preserve">Frs </w:t>
      </w:r>
      <w:r w:rsidR="007C5988">
        <w:rPr>
          <w:rFonts w:ascii="Times New Roman" w:eastAsia="Times New Roman" w:hAnsi="Times New Roman" w:cs="Times New Roman"/>
          <w:color w:val="000000"/>
          <w:lang w:eastAsia="fr-FR"/>
        </w:rPr>
        <w:t>CFA</w:t>
      </w:r>
      <w:r w:rsidR="005D7D74">
        <w:rPr>
          <w:rFonts w:ascii="Times New Roman" w:eastAsia="Times New Roman" w:hAnsi="Times New Roman" w:cs="Times New Roman"/>
          <w:color w:val="000000"/>
          <w:lang w:eastAsia="fr-FR"/>
        </w:rPr>
        <w:t>). Ce dispositif permettra</w:t>
      </w:r>
      <w:r w:rsidR="006C07E2">
        <w:rPr>
          <w:rFonts w:ascii="Times New Roman" w:eastAsia="Times New Roman" w:hAnsi="Times New Roman" w:cs="Times New Roman"/>
          <w:color w:val="000000"/>
          <w:lang w:eastAsia="fr-FR"/>
        </w:rPr>
        <w:t xml:space="preserve"> à l’avenir, </w:t>
      </w:r>
      <w:r w:rsidR="005D7D74">
        <w:rPr>
          <w:rFonts w:ascii="Times New Roman" w:eastAsia="Times New Roman" w:hAnsi="Times New Roman" w:cs="Times New Roman"/>
          <w:color w:val="000000"/>
          <w:lang w:eastAsia="fr-FR"/>
        </w:rPr>
        <w:t xml:space="preserve">de </w:t>
      </w:r>
      <w:r w:rsidR="006C07E2">
        <w:rPr>
          <w:rFonts w:ascii="Times New Roman" w:eastAsia="Times New Roman" w:hAnsi="Times New Roman" w:cs="Times New Roman"/>
          <w:color w:val="000000"/>
          <w:lang w:eastAsia="fr-FR"/>
        </w:rPr>
        <w:t xml:space="preserve">dérouler ce type de </w:t>
      </w:r>
      <w:r w:rsidR="005D7D74">
        <w:rPr>
          <w:rFonts w:ascii="Times New Roman" w:eastAsia="Times New Roman" w:hAnsi="Times New Roman" w:cs="Times New Roman"/>
          <w:color w:val="000000"/>
          <w:lang w:eastAsia="fr-FR"/>
        </w:rPr>
        <w:t xml:space="preserve"> formation</w:t>
      </w:r>
      <w:r w:rsidR="00FF39FF">
        <w:rPr>
          <w:rFonts w:ascii="Times New Roman" w:eastAsia="Times New Roman" w:hAnsi="Times New Roman" w:cs="Times New Roman"/>
          <w:color w:val="000000"/>
          <w:lang w:eastAsia="fr-FR"/>
        </w:rPr>
        <w:t>s</w:t>
      </w:r>
      <w:r w:rsidR="005D7D74">
        <w:rPr>
          <w:rFonts w:ascii="Times New Roman" w:eastAsia="Times New Roman" w:hAnsi="Times New Roman" w:cs="Times New Roman"/>
          <w:color w:val="000000"/>
          <w:lang w:eastAsia="fr-FR"/>
        </w:rPr>
        <w:t xml:space="preserve"> à </w:t>
      </w:r>
      <w:r w:rsidR="00F11A20">
        <w:rPr>
          <w:rFonts w:ascii="Times New Roman" w:eastAsia="Times New Roman" w:hAnsi="Times New Roman" w:cs="Times New Roman"/>
          <w:color w:val="000000"/>
          <w:lang w:eastAsia="fr-FR"/>
        </w:rPr>
        <w:t xml:space="preserve">plus </w:t>
      </w:r>
      <w:r w:rsidR="005D7D74">
        <w:rPr>
          <w:rFonts w:ascii="Times New Roman" w:eastAsia="Times New Roman" w:hAnsi="Times New Roman" w:cs="Times New Roman"/>
          <w:color w:val="000000"/>
          <w:lang w:eastAsia="fr-FR"/>
        </w:rPr>
        <w:t>grande échelle.</w:t>
      </w:r>
      <w:r w:rsidR="00CC6BE8">
        <w:rPr>
          <w:rFonts w:ascii="Times New Roman" w:eastAsia="Times New Roman" w:hAnsi="Times New Roman" w:cs="Times New Roman"/>
          <w:color w:val="000000"/>
          <w:lang w:eastAsia="fr-FR"/>
        </w:rPr>
        <w:t xml:space="preserve"> </w:t>
      </w:r>
    </w:p>
    <w:p w14:paraId="323833AD" w14:textId="77777777" w:rsidR="006B29D4" w:rsidRPr="00BF13A3" w:rsidRDefault="006B29D4" w:rsidP="009D11E8">
      <w:pPr>
        <w:spacing w:line="276" w:lineRule="auto"/>
        <w:rPr>
          <w:rFonts w:ascii="Times New Roman" w:eastAsia="Times New Roman" w:hAnsi="Times New Roman" w:cs="Times New Roman"/>
          <w:color w:val="000000"/>
          <w:lang w:eastAsia="fr-FR"/>
        </w:rPr>
      </w:pPr>
    </w:p>
    <w:p w14:paraId="6228AF0B" w14:textId="3A2A5098" w:rsidR="006B29D4" w:rsidRPr="00BF13A3" w:rsidRDefault="006B29D4" w:rsidP="009D11E8">
      <w:pPr>
        <w:spacing w:line="276" w:lineRule="auto"/>
        <w:ind w:left="708"/>
        <w:rPr>
          <w:rFonts w:ascii="Times New Roman" w:eastAsia="Times New Roman" w:hAnsi="Times New Roman" w:cs="Times New Roman"/>
          <w:b/>
          <w:bCs/>
          <w:i/>
          <w:iCs/>
          <w:color w:val="000000"/>
          <w:lang w:eastAsia="fr-FR"/>
        </w:rPr>
      </w:pPr>
      <w:r w:rsidRPr="00BF13A3">
        <w:rPr>
          <w:rFonts w:ascii="Times New Roman" w:eastAsia="Times New Roman" w:hAnsi="Times New Roman" w:cs="Times New Roman"/>
          <w:b/>
          <w:bCs/>
          <w:i/>
          <w:iCs/>
          <w:color w:val="000000"/>
          <w:lang w:eastAsia="fr-FR"/>
        </w:rPr>
        <w:t>RLD4.1: Programme d'accréditation</w:t>
      </w:r>
    </w:p>
    <w:p w14:paraId="2C7BF9CB" w14:textId="0E985802" w:rsidR="00102B80" w:rsidRPr="00BF13A3" w:rsidRDefault="00D630EB" w:rsidP="004D7895">
      <w:pPr>
        <w:spacing w:line="276" w:lineRule="auto"/>
        <w:jc w:val="both"/>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 xml:space="preserve">Les </w:t>
      </w:r>
      <w:proofErr w:type="spellStart"/>
      <w:r w:rsidRPr="00BF13A3">
        <w:rPr>
          <w:rFonts w:ascii="Times New Roman" w:eastAsia="Times New Roman" w:hAnsi="Times New Roman" w:cs="Times New Roman"/>
          <w:color w:val="000000"/>
          <w:lang w:eastAsia="fr-FR"/>
        </w:rPr>
        <w:t>p</w:t>
      </w:r>
      <w:r w:rsidR="00690A76" w:rsidRPr="00BF13A3">
        <w:rPr>
          <w:rFonts w:ascii="Times New Roman" w:eastAsia="Times New Roman" w:hAnsi="Times New Roman" w:cs="Times New Roman"/>
          <w:color w:val="000000"/>
          <w:lang w:eastAsia="fr-FR"/>
        </w:rPr>
        <w:t>rogammes</w:t>
      </w:r>
      <w:proofErr w:type="spellEnd"/>
      <w:r w:rsidR="00690A76" w:rsidRPr="00BF13A3">
        <w:rPr>
          <w:rFonts w:ascii="Times New Roman" w:eastAsia="Times New Roman" w:hAnsi="Times New Roman" w:cs="Times New Roman"/>
          <w:color w:val="000000"/>
          <w:lang w:eastAsia="fr-FR"/>
        </w:rPr>
        <w:t xml:space="preserve"> </w:t>
      </w:r>
      <w:r w:rsidRPr="00BF13A3">
        <w:rPr>
          <w:rFonts w:ascii="Times New Roman" w:eastAsia="Times New Roman" w:hAnsi="Times New Roman" w:cs="Times New Roman"/>
          <w:color w:val="000000"/>
          <w:lang w:eastAsia="fr-FR"/>
        </w:rPr>
        <w:t xml:space="preserve">à accréditer sont déjà </w:t>
      </w:r>
      <w:r w:rsidR="00690A76" w:rsidRPr="00BF13A3">
        <w:rPr>
          <w:rFonts w:ascii="Times New Roman" w:eastAsia="Times New Roman" w:hAnsi="Times New Roman" w:cs="Times New Roman"/>
          <w:color w:val="000000"/>
          <w:lang w:eastAsia="fr-FR"/>
        </w:rPr>
        <w:t>r</w:t>
      </w:r>
      <w:r w:rsidR="00B6457D">
        <w:rPr>
          <w:rFonts w:ascii="Times New Roman" w:eastAsia="Times New Roman" w:hAnsi="Times New Roman" w:cs="Times New Roman"/>
          <w:color w:val="000000"/>
          <w:lang w:eastAsia="fr-FR"/>
        </w:rPr>
        <w:t>é</w:t>
      </w:r>
      <w:r w:rsidR="00690A76" w:rsidRPr="00BF13A3">
        <w:rPr>
          <w:rFonts w:ascii="Times New Roman" w:eastAsia="Times New Roman" w:hAnsi="Times New Roman" w:cs="Times New Roman"/>
          <w:color w:val="000000"/>
          <w:lang w:eastAsia="fr-FR"/>
        </w:rPr>
        <w:t>pertoriés</w:t>
      </w:r>
      <w:r w:rsidR="0044604F">
        <w:rPr>
          <w:rFonts w:ascii="Times New Roman" w:eastAsia="Times New Roman" w:hAnsi="Times New Roman" w:cs="Times New Roman"/>
          <w:color w:val="000000"/>
          <w:lang w:eastAsia="fr-FR"/>
        </w:rPr>
        <w:t xml:space="preserve">. </w:t>
      </w:r>
      <w:r w:rsidR="007C5988" w:rsidRPr="00BF13A3">
        <w:rPr>
          <w:rFonts w:ascii="Times New Roman" w:eastAsia="Times New Roman" w:hAnsi="Times New Roman" w:cs="Times New Roman"/>
          <w:color w:val="000000"/>
          <w:lang w:eastAsia="fr-FR"/>
        </w:rPr>
        <w:t>L’A</w:t>
      </w:r>
      <w:r w:rsidR="007C5988">
        <w:rPr>
          <w:rFonts w:ascii="Times New Roman" w:eastAsia="Times New Roman" w:hAnsi="Times New Roman" w:cs="Times New Roman"/>
          <w:color w:val="000000"/>
          <w:lang w:eastAsia="fr-FR"/>
        </w:rPr>
        <w:t>NAQ-</w:t>
      </w:r>
      <w:r w:rsidR="007C5988" w:rsidRPr="00BF13A3">
        <w:rPr>
          <w:rFonts w:ascii="Times New Roman" w:eastAsia="Times New Roman" w:hAnsi="Times New Roman" w:cs="Times New Roman"/>
          <w:color w:val="000000"/>
          <w:lang w:eastAsia="fr-FR"/>
        </w:rPr>
        <w:t xml:space="preserve">Sup </w:t>
      </w:r>
      <w:r w:rsidRPr="00BF13A3">
        <w:rPr>
          <w:rFonts w:ascii="Times New Roman" w:eastAsia="Times New Roman" w:hAnsi="Times New Roman" w:cs="Times New Roman"/>
          <w:color w:val="000000"/>
          <w:lang w:eastAsia="fr-FR"/>
        </w:rPr>
        <w:t xml:space="preserve">a été saisie et est favorable à la </w:t>
      </w:r>
      <w:r w:rsidR="00690A76" w:rsidRPr="00BF13A3">
        <w:rPr>
          <w:rFonts w:ascii="Times New Roman" w:eastAsia="Times New Roman" w:hAnsi="Times New Roman" w:cs="Times New Roman"/>
          <w:color w:val="000000"/>
          <w:lang w:eastAsia="fr-FR"/>
        </w:rPr>
        <w:t>mise en place d’une proc</w:t>
      </w:r>
      <w:r w:rsidR="00B6457D">
        <w:rPr>
          <w:rFonts w:ascii="Times New Roman" w:eastAsia="Times New Roman" w:hAnsi="Times New Roman" w:cs="Times New Roman"/>
          <w:color w:val="000000"/>
          <w:lang w:eastAsia="fr-FR"/>
        </w:rPr>
        <w:t>é</w:t>
      </w:r>
      <w:r w:rsidR="00690A76" w:rsidRPr="00BF13A3">
        <w:rPr>
          <w:rFonts w:ascii="Times New Roman" w:eastAsia="Times New Roman" w:hAnsi="Times New Roman" w:cs="Times New Roman"/>
          <w:color w:val="000000"/>
          <w:lang w:eastAsia="fr-FR"/>
        </w:rPr>
        <w:t>dure d’accr</w:t>
      </w:r>
      <w:r w:rsidR="00B6457D">
        <w:rPr>
          <w:rFonts w:ascii="Times New Roman" w:eastAsia="Times New Roman" w:hAnsi="Times New Roman" w:cs="Times New Roman"/>
          <w:color w:val="000000"/>
          <w:lang w:eastAsia="fr-FR"/>
        </w:rPr>
        <w:t>é</w:t>
      </w:r>
      <w:r w:rsidR="00690A76" w:rsidRPr="00BF13A3">
        <w:rPr>
          <w:rFonts w:ascii="Times New Roman" w:eastAsia="Times New Roman" w:hAnsi="Times New Roman" w:cs="Times New Roman"/>
          <w:color w:val="000000"/>
          <w:lang w:eastAsia="fr-FR"/>
        </w:rPr>
        <w:t xml:space="preserve">ditation </w:t>
      </w:r>
      <w:r w:rsidR="007C5988" w:rsidRPr="00BF13A3">
        <w:rPr>
          <w:rFonts w:ascii="Times New Roman" w:eastAsia="Times New Roman" w:hAnsi="Times New Roman" w:cs="Times New Roman"/>
          <w:color w:val="000000"/>
          <w:lang w:eastAsia="fr-FR"/>
        </w:rPr>
        <w:t>accélérée</w:t>
      </w:r>
      <w:r w:rsidR="00690A76" w:rsidRPr="00BF13A3">
        <w:rPr>
          <w:rFonts w:ascii="Times New Roman" w:eastAsia="Times New Roman" w:hAnsi="Times New Roman" w:cs="Times New Roman"/>
          <w:color w:val="000000"/>
          <w:lang w:eastAsia="fr-FR"/>
        </w:rPr>
        <w:t xml:space="preserve"> pour le CEA</w:t>
      </w:r>
      <w:r w:rsidR="00102B80" w:rsidRPr="00BF13A3">
        <w:rPr>
          <w:rFonts w:ascii="Times New Roman" w:eastAsia="Times New Roman" w:hAnsi="Times New Roman" w:cs="Times New Roman"/>
          <w:color w:val="000000"/>
          <w:lang w:eastAsia="fr-FR"/>
        </w:rPr>
        <w:t>.</w:t>
      </w:r>
      <w:r w:rsidRPr="00BF13A3">
        <w:rPr>
          <w:rFonts w:ascii="Times New Roman" w:eastAsia="Times New Roman" w:hAnsi="Times New Roman" w:cs="Times New Roman"/>
          <w:color w:val="000000"/>
          <w:lang w:eastAsia="fr-FR"/>
        </w:rPr>
        <w:t xml:space="preserve"> Les responsables de programmes </w:t>
      </w:r>
      <w:r w:rsidR="007C5988">
        <w:rPr>
          <w:rFonts w:ascii="Times New Roman" w:eastAsia="Times New Roman" w:hAnsi="Times New Roman" w:cs="Times New Roman"/>
          <w:color w:val="000000"/>
          <w:lang w:eastAsia="fr-FR"/>
        </w:rPr>
        <w:t xml:space="preserve">à accréditer dans les différentes universités </w:t>
      </w:r>
      <w:r w:rsidRPr="00BF13A3">
        <w:rPr>
          <w:rFonts w:ascii="Times New Roman" w:eastAsia="Times New Roman" w:hAnsi="Times New Roman" w:cs="Times New Roman"/>
          <w:color w:val="000000"/>
          <w:lang w:eastAsia="fr-FR"/>
        </w:rPr>
        <w:t>ont été saisis pour constituer le dossier de candidature à d</w:t>
      </w:r>
      <w:r w:rsidR="00B6457D">
        <w:rPr>
          <w:rFonts w:ascii="Times New Roman" w:eastAsia="Times New Roman" w:hAnsi="Times New Roman" w:cs="Times New Roman"/>
          <w:color w:val="000000"/>
          <w:lang w:eastAsia="fr-FR"/>
        </w:rPr>
        <w:t>é</w:t>
      </w:r>
      <w:r w:rsidRPr="00BF13A3">
        <w:rPr>
          <w:rFonts w:ascii="Times New Roman" w:eastAsia="Times New Roman" w:hAnsi="Times New Roman" w:cs="Times New Roman"/>
          <w:color w:val="000000"/>
          <w:lang w:eastAsia="fr-FR"/>
        </w:rPr>
        <w:t>poser à l’</w:t>
      </w:r>
      <w:proofErr w:type="spellStart"/>
      <w:r w:rsidRPr="00BF13A3">
        <w:rPr>
          <w:rFonts w:ascii="Times New Roman" w:eastAsia="Times New Roman" w:hAnsi="Times New Roman" w:cs="Times New Roman"/>
          <w:color w:val="000000"/>
          <w:lang w:eastAsia="fr-FR"/>
        </w:rPr>
        <w:t>Anaq</w:t>
      </w:r>
      <w:proofErr w:type="spellEnd"/>
      <w:r w:rsidR="005A34F1">
        <w:rPr>
          <w:rFonts w:ascii="Times New Roman" w:eastAsia="Times New Roman" w:hAnsi="Times New Roman" w:cs="Times New Roman"/>
          <w:color w:val="000000"/>
          <w:lang w:eastAsia="fr-FR"/>
        </w:rPr>
        <w:t>-</w:t>
      </w:r>
      <w:r w:rsidRPr="00BF13A3">
        <w:rPr>
          <w:rFonts w:ascii="Times New Roman" w:eastAsia="Times New Roman" w:hAnsi="Times New Roman" w:cs="Times New Roman"/>
          <w:color w:val="000000"/>
          <w:lang w:eastAsia="fr-FR"/>
        </w:rPr>
        <w:t xml:space="preserve">Sup. Ce </w:t>
      </w:r>
      <w:r w:rsidR="00102B80" w:rsidRPr="00BF13A3">
        <w:rPr>
          <w:rFonts w:ascii="Times New Roman" w:eastAsia="Times New Roman" w:hAnsi="Times New Roman" w:cs="Times New Roman"/>
          <w:color w:val="000000"/>
          <w:lang w:eastAsia="fr-FR"/>
        </w:rPr>
        <w:t>dossier</w:t>
      </w:r>
      <w:r w:rsidRPr="00BF13A3">
        <w:rPr>
          <w:rFonts w:ascii="Times New Roman" w:eastAsia="Times New Roman" w:hAnsi="Times New Roman" w:cs="Times New Roman"/>
          <w:color w:val="000000"/>
          <w:lang w:eastAsia="fr-FR"/>
        </w:rPr>
        <w:t xml:space="preserve"> est</w:t>
      </w:r>
      <w:r w:rsidR="00102B80" w:rsidRPr="00BF13A3">
        <w:rPr>
          <w:rFonts w:ascii="Times New Roman" w:eastAsia="Times New Roman" w:hAnsi="Times New Roman" w:cs="Times New Roman"/>
          <w:color w:val="000000"/>
          <w:lang w:eastAsia="fr-FR"/>
        </w:rPr>
        <w:t xml:space="preserve"> composé de : </w:t>
      </w:r>
    </w:p>
    <w:p w14:paraId="7CACA26F" w14:textId="77777777" w:rsidR="00102B80" w:rsidRPr="00BF13A3" w:rsidRDefault="00102B80" w:rsidP="009D11E8">
      <w:pPr>
        <w:pStyle w:val="Paragraphedeliste"/>
        <w:numPr>
          <w:ilvl w:val="0"/>
          <w:numId w:val="2"/>
        </w:numPr>
        <w:spacing w:line="276" w:lineRule="auto"/>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une lettre signée par le Recteur</w:t>
      </w:r>
    </w:p>
    <w:p w14:paraId="4A5375B4" w14:textId="77777777" w:rsidR="00102B80" w:rsidRPr="00BF13A3" w:rsidRDefault="00102B80" w:rsidP="009D11E8">
      <w:pPr>
        <w:pStyle w:val="Paragraphedeliste"/>
        <w:numPr>
          <w:ilvl w:val="0"/>
          <w:numId w:val="2"/>
        </w:numPr>
        <w:spacing w:line="276" w:lineRule="auto"/>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des preuves de sortie de promo (2 ans)</w:t>
      </w:r>
    </w:p>
    <w:p w14:paraId="58B351BD" w14:textId="11216CB1" w:rsidR="00102B80" w:rsidRPr="00BF13A3" w:rsidRDefault="00102B80" w:rsidP="009D11E8">
      <w:pPr>
        <w:pStyle w:val="Paragraphedeliste"/>
        <w:numPr>
          <w:ilvl w:val="0"/>
          <w:numId w:val="2"/>
        </w:numPr>
        <w:spacing w:line="276" w:lineRule="auto"/>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le descriptif des objectifs de formation</w:t>
      </w:r>
    </w:p>
    <w:p w14:paraId="2D724DD8" w14:textId="72539E71" w:rsidR="00690A76" w:rsidRPr="00BF13A3" w:rsidRDefault="00690A76" w:rsidP="009D11E8">
      <w:pPr>
        <w:spacing w:line="276" w:lineRule="auto"/>
        <w:rPr>
          <w:rFonts w:ascii="Times New Roman" w:eastAsia="Times New Roman" w:hAnsi="Times New Roman" w:cs="Times New Roman"/>
          <w:color w:val="000000"/>
          <w:lang w:eastAsia="fr-FR"/>
        </w:rPr>
      </w:pPr>
    </w:p>
    <w:p w14:paraId="344A51BF" w14:textId="081634AE" w:rsidR="00690A76" w:rsidRPr="00BF13A3" w:rsidRDefault="00D630EB" w:rsidP="009D11E8">
      <w:pPr>
        <w:spacing w:line="276" w:lineRule="auto"/>
        <w:jc w:val="both"/>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Le CEA va f</w:t>
      </w:r>
      <w:r w:rsidR="00690A76" w:rsidRPr="00BF13A3">
        <w:rPr>
          <w:rFonts w:ascii="Times New Roman" w:eastAsia="Times New Roman" w:hAnsi="Times New Roman" w:cs="Times New Roman"/>
          <w:color w:val="000000"/>
          <w:lang w:eastAsia="fr-FR"/>
        </w:rPr>
        <w:t>inance</w:t>
      </w:r>
      <w:r w:rsidRPr="00BF13A3">
        <w:rPr>
          <w:rFonts w:ascii="Times New Roman" w:eastAsia="Times New Roman" w:hAnsi="Times New Roman" w:cs="Times New Roman"/>
          <w:color w:val="000000"/>
          <w:lang w:eastAsia="fr-FR"/>
        </w:rPr>
        <w:t>r</w:t>
      </w:r>
      <w:r w:rsidR="00690A76" w:rsidRPr="00BF13A3">
        <w:rPr>
          <w:rFonts w:ascii="Times New Roman" w:eastAsia="Times New Roman" w:hAnsi="Times New Roman" w:cs="Times New Roman"/>
          <w:color w:val="000000"/>
          <w:lang w:eastAsia="fr-FR"/>
        </w:rPr>
        <w:t xml:space="preserve"> </w:t>
      </w:r>
      <w:r w:rsidRPr="00BF13A3">
        <w:rPr>
          <w:rFonts w:ascii="Times New Roman" w:eastAsia="Times New Roman" w:hAnsi="Times New Roman" w:cs="Times New Roman"/>
          <w:color w:val="000000"/>
          <w:lang w:eastAsia="fr-FR"/>
        </w:rPr>
        <w:t xml:space="preserve">les </w:t>
      </w:r>
      <w:r w:rsidR="00690A76" w:rsidRPr="00BF13A3">
        <w:rPr>
          <w:rFonts w:ascii="Times New Roman" w:eastAsia="Times New Roman" w:hAnsi="Times New Roman" w:cs="Times New Roman"/>
          <w:color w:val="000000"/>
          <w:lang w:eastAsia="fr-FR"/>
        </w:rPr>
        <w:t>ateliers de</w:t>
      </w:r>
      <w:r w:rsidR="00C04724">
        <w:rPr>
          <w:rFonts w:ascii="Times New Roman" w:eastAsia="Times New Roman" w:hAnsi="Times New Roman" w:cs="Times New Roman"/>
          <w:color w:val="000000"/>
          <w:lang w:eastAsia="fr-FR"/>
        </w:rPr>
        <w:t xml:space="preserve"> capacitation sur les procédures des r</w:t>
      </w:r>
      <w:r w:rsidR="00EE2F52">
        <w:rPr>
          <w:rFonts w:ascii="Times New Roman" w:eastAsia="Times New Roman" w:hAnsi="Times New Roman" w:cs="Times New Roman"/>
          <w:color w:val="000000"/>
          <w:lang w:eastAsia="fr-FR"/>
        </w:rPr>
        <w:t>é</w:t>
      </w:r>
      <w:r w:rsidR="00C04724">
        <w:rPr>
          <w:rFonts w:ascii="Times New Roman" w:eastAsia="Times New Roman" w:hAnsi="Times New Roman" w:cs="Times New Roman"/>
          <w:color w:val="000000"/>
          <w:lang w:eastAsia="fr-FR"/>
        </w:rPr>
        <w:t>f</w:t>
      </w:r>
      <w:r w:rsidR="00EE2F52">
        <w:rPr>
          <w:rFonts w:ascii="Times New Roman" w:eastAsia="Times New Roman" w:hAnsi="Times New Roman" w:cs="Times New Roman"/>
          <w:color w:val="000000"/>
          <w:lang w:eastAsia="fr-FR"/>
        </w:rPr>
        <w:t>é</w:t>
      </w:r>
      <w:r w:rsidR="00C04724">
        <w:rPr>
          <w:rFonts w:ascii="Times New Roman" w:eastAsia="Times New Roman" w:hAnsi="Times New Roman" w:cs="Times New Roman"/>
          <w:color w:val="000000"/>
          <w:lang w:eastAsia="fr-FR"/>
        </w:rPr>
        <w:t>rentiels  de l’ANAQ-</w:t>
      </w:r>
      <w:r w:rsidR="007C5988">
        <w:rPr>
          <w:rFonts w:ascii="Times New Roman" w:eastAsia="Times New Roman" w:hAnsi="Times New Roman" w:cs="Times New Roman"/>
          <w:color w:val="000000"/>
          <w:lang w:eastAsia="fr-FR"/>
        </w:rPr>
        <w:t>Sup</w:t>
      </w:r>
      <w:r w:rsidR="00C04724">
        <w:rPr>
          <w:rFonts w:ascii="Times New Roman" w:eastAsia="Times New Roman" w:hAnsi="Times New Roman" w:cs="Times New Roman"/>
          <w:color w:val="000000"/>
          <w:lang w:eastAsia="fr-FR"/>
        </w:rPr>
        <w:t>.</w:t>
      </w:r>
      <w:r w:rsidR="00690A76" w:rsidRPr="00BF13A3">
        <w:rPr>
          <w:rFonts w:ascii="Times New Roman" w:eastAsia="Times New Roman" w:hAnsi="Times New Roman" w:cs="Times New Roman"/>
          <w:color w:val="000000"/>
          <w:lang w:eastAsia="fr-FR"/>
        </w:rPr>
        <w:t xml:space="preserve"> </w:t>
      </w:r>
      <w:r w:rsidR="00C04724">
        <w:rPr>
          <w:rFonts w:ascii="Times New Roman" w:eastAsia="Times New Roman" w:hAnsi="Times New Roman" w:cs="Times New Roman"/>
          <w:color w:val="000000"/>
          <w:lang w:eastAsia="fr-FR"/>
        </w:rPr>
        <w:t>Il sera suivi d</w:t>
      </w:r>
      <w:r w:rsidR="00572175">
        <w:rPr>
          <w:rFonts w:ascii="Times New Roman" w:eastAsia="Times New Roman" w:hAnsi="Times New Roman" w:cs="Times New Roman"/>
          <w:color w:val="000000"/>
          <w:lang w:eastAsia="fr-FR"/>
        </w:rPr>
        <w:t>’</w:t>
      </w:r>
      <w:r w:rsidR="00C04724">
        <w:rPr>
          <w:rFonts w:ascii="Times New Roman" w:eastAsia="Times New Roman" w:hAnsi="Times New Roman" w:cs="Times New Roman"/>
          <w:color w:val="000000"/>
          <w:lang w:eastAsia="fr-FR"/>
        </w:rPr>
        <w:t xml:space="preserve">ateliers </w:t>
      </w:r>
      <w:r w:rsidR="00690A76" w:rsidRPr="00BF13A3">
        <w:rPr>
          <w:rFonts w:ascii="Times New Roman" w:eastAsia="Times New Roman" w:hAnsi="Times New Roman" w:cs="Times New Roman"/>
          <w:color w:val="000000"/>
          <w:lang w:eastAsia="fr-FR"/>
        </w:rPr>
        <w:t xml:space="preserve">de </w:t>
      </w:r>
      <w:r w:rsidRPr="00BF13A3">
        <w:rPr>
          <w:rFonts w:ascii="Times New Roman" w:eastAsia="Times New Roman" w:hAnsi="Times New Roman" w:cs="Times New Roman"/>
          <w:color w:val="000000"/>
          <w:lang w:eastAsia="fr-FR"/>
        </w:rPr>
        <w:t>rédaction</w:t>
      </w:r>
      <w:r w:rsidR="00690A76" w:rsidRPr="00BF13A3">
        <w:rPr>
          <w:rFonts w:ascii="Times New Roman" w:eastAsia="Times New Roman" w:hAnsi="Times New Roman" w:cs="Times New Roman"/>
          <w:color w:val="000000"/>
          <w:lang w:eastAsia="fr-FR"/>
        </w:rPr>
        <w:t xml:space="preserve"> des rapports d’auto</w:t>
      </w:r>
      <w:r w:rsidR="00B6457D">
        <w:rPr>
          <w:rFonts w:ascii="Times New Roman" w:eastAsia="Times New Roman" w:hAnsi="Times New Roman" w:cs="Times New Roman"/>
          <w:color w:val="000000"/>
          <w:lang w:eastAsia="fr-FR"/>
        </w:rPr>
        <w:t>é</w:t>
      </w:r>
      <w:r w:rsidR="00690A76" w:rsidRPr="00BF13A3">
        <w:rPr>
          <w:rFonts w:ascii="Times New Roman" w:eastAsia="Times New Roman" w:hAnsi="Times New Roman" w:cs="Times New Roman"/>
          <w:color w:val="000000"/>
          <w:lang w:eastAsia="fr-FR"/>
        </w:rPr>
        <w:t xml:space="preserve">valuation </w:t>
      </w:r>
      <w:r w:rsidRPr="00BF13A3">
        <w:rPr>
          <w:rFonts w:ascii="Times New Roman" w:eastAsia="Times New Roman" w:hAnsi="Times New Roman" w:cs="Times New Roman"/>
          <w:color w:val="000000"/>
          <w:lang w:eastAsia="fr-FR"/>
        </w:rPr>
        <w:t>des programmes</w:t>
      </w:r>
      <w:r w:rsidR="00C04724">
        <w:rPr>
          <w:rFonts w:ascii="Times New Roman" w:eastAsia="Times New Roman" w:hAnsi="Times New Roman" w:cs="Times New Roman"/>
          <w:color w:val="000000"/>
          <w:lang w:eastAsia="fr-FR"/>
        </w:rPr>
        <w:t>. Il est déjà convenu avec l’ANAQ-</w:t>
      </w:r>
      <w:r w:rsidR="007C5988">
        <w:rPr>
          <w:rFonts w:ascii="Times New Roman" w:eastAsia="Times New Roman" w:hAnsi="Times New Roman" w:cs="Times New Roman"/>
          <w:color w:val="000000"/>
          <w:lang w:eastAsia="fr-FR"/>
        </w:rPr>
        <w:t xml:space="preserve">Sup </w:t>
      </w:r>
      <w:r w:rsidR="00572175">
        <w:rPr>
          <w:rFonts w:ascii="Times New Roman" w:eastAsia="Times New Roman" w:hAnsi="Times New Roman" w:cs="Times New Roman"/>
          <w:color w:val="000000"/>
          <w:lang w:eastAsia="fr-FR"/>
        </w:rPr>
        <w:t xml:space="preserve">un </w:t>
      </w:r>
      <w:r w:rsidR="00C04724">
        <w:rPr>
          <w:rFonts w:ascii="Times New Roman" w:eastAsia="Times New Roman" w:hAnsi="Times New Roman" w:cs="Times New Roman"/>
          <w:color w:val="000000"/>
          <w:lang w:eastAsia="fr-FR"/>
        </w:rPr>
        <w:t>raccourcissement des délais</w:t>
      </w:r>
      <w:r w:rsidR="00EE2F52">
        <w:rPr>
          <w:rFonts w:ascii="Times New Roman" w:eastAsia="Times New Roman" w:hAnsi="Times New Roman" w:cs="Times New Roman"/>
          <w:color w:val="000000"/>
          <w:lang w:eastAsia="fr-FR"/>
        </w:rPr>
        <w:t xml:space="preserve"> de programmation des évaluations</w:t>
      </w:r>
      <w:r w:rsidR="00C04724">
        <w:rPr>
          <w:rFonts w:ascii="Times New Roman" w:eastAsia="Times New Roman" w:hAnsi="Times New Roman" w:cs="Times New Roman"/>
          <w:color w:val="000000"/>
          <w:lang w:eastAsia="fr-FR"/>
        </w:rPr>
        <w:t xml:space="preserve"> </w:t>
      </w:r>
      <w:r w:rsidR="00EE2F52">
        <w:rPr>
          <w:rFonts w:ascii="Times New Roman" w:eastAsia="Times New Roman" w:hAnsi="Times New Roman" w:cs="Times New Roman"/>
          <w:color w:val="000000"/>
          <w:lang w:eastAsia="fr-FR"/>
        </w:rPr>
        <w:t xml:space="preserve">qui sera de </w:t>
      </w:r>
      <w:r w:rsidR="00690A76" w:rsidRPr="00BF13A3">
        <w:rPr>
          <w:rFonts w:ascii="Times New Roman" w:eastAsia="Times New Roman" w:hAnsi="Times New Roman" w:cs="Times New Roman"/>
          <w:color w:val="000000"/>
          <w:lang w:eastAsia="fr-FR"/>
        </w:rPr>
        <w:t xml:space="preserve">2 mois </w:t>
      </w:r>
      <w:r w:rsidR="000449EB">
        <w:rPr>
          <w:rFonts w:ascii="Times New Roman" w:eastAsia="Times New Roman" w:hAnsi="Times New Roman" w:cs="Times New Roman"/>
          <w:color w:val="000000"/>
          <w:lang w:eastAsia="fr-FR"/>
        </w:rPr>
        <w:t>à</w:t>
      </w:r>
      <w:r w:rsidR="00EE2F52">
        <w:rPr>
          <w:rFonts w:ascii="Times New Roman" w:eastAsia="Times New Roman" w:hAnsi="Times New Roman" w:cs="Times New Roman"/>
          <w:color w:val="000000"/>
          <w:lang w:eastAsia="fr-FR"/>
        </w:rPr>
        <w:t xml:space="preserve"> partir des dates de soumission des rapports d’auto évaluation</w:t>
      </w:r>
      <w:r w:rsidRPr="00BF13A3">
        <w:rPr>
          <w:rFonts w:ascii="Times New Roman" w:eastAsia="Times New Roman" w:hAnsi="Times New Roman" w:cs="Times New Roman"/>
          <w:color w:val="000000"/>
          <w:lang w:eastAsia="fr-FR"/>
        </w:rPr>
        <w:t xml:space="preserve">. </w:t>
      </w:r>
      <w:r w:rsidR="00EE2F52">
        <w:rPr>
          <w:rFonts w:ascii="Times New Roman" w:eastAsia="Times New Roman" w:hAnsi="Times New Roman" w:cs="Times New Roman"/>
          <w:color w:val="000000"/>
          <w:lang w:eastAsia="fr-FR"/>
        </w:rPr>
        <w:t>L</w:t>
      </w:r>
      <w:r w:rsidRPr="00BF13A3">
        <w:rPr>
          <w:rFonts w:ascii="Times New Roman" w:eastAsia="Times New Roman" w:hAnsi="Times New Roman" w:cs="Times New Roman"/>
          <w:color w:val="000000"/>
          <w:lang w:eastAsia="fr-FR"/>
        </w:rPr>
        <w:t xml:space="preserve">es responsables de programmes </w:t>
      </w:r>
      <w:r w:rsidR="00EE2F52">
        <w:rPr>
          <w:rFonts w:ascii="Times New Roman" w:eastAsia="Times New Roman" w:hAnsi="Times New Roman" w:cs="Times New Roman"/>
          <w:color w:val="000000"/>
          <w:lang w:eastAsia="fr-FR"/>
        </w:rPr>
        <w:t>et</w:t>
      </w:r>
      <w:r w:rsidR="00EE2F52" w:rsidRPr="00BF13A3">
        <w:rPr>
          <w:rFonts w:ascii="Times New Roman" w:eastAsia="Times New Roman" w:hAnsi="Times New Roman" w:cs="Times New Roman"/>
          <w:color w:val="000000"/>
          <w:lang w:eastAsia="fr-FR"/>
        </w:rPr>
        <w:t xml:space="preserve"> </w:t>
      </w:r>
      <w:r w:rsidRPr="00BF13A3">
        <w:rPr>
          <w:rFonts w:ascii="Times New Roman" w:eastAsia="Times New Roman" w:hAnsi="Times New Roman" w:cs="Times New Roman"/>
          <w:color w:val="000000"/>
          <w:lang w:eastAsia="fr-FR"/>
        </w:rPr>
        <w:t>les coordonnateur</w:t>
      </w:r>
      <w:r w:rsidR="00EE2F52">
        <w:rPr>
          <w:rFonts w:ascii="Times New Roman" w:eastAsia="Times New Roman" w:hAnsi="Times New Roman" w:cs="Times New Roman"/>
          <w:color w:val="000000"/>
          <w:lang w:eastAsia="fr-FR"/>
        </w:rPr>
        <w:t>s</w:t>
      </w:r>
      <w:r w:rsidRPr="00BF13A3">
        <w:rPr>
          <w:rFonts w:ascii="Times New Roman" w:eastAsia="Times New Roman" w:hAnsi="Times New Roman" w:cs="Times New Roman"/>
          <w:color w:val="000000"/>
          <w:lang w:eastAsia="fr-FR"/>
        </w:rPr>
        <w:t xml:space="preserve"> de</w:t>
      </w:r>
      <w:r w:rsidR="00572175">
        <w:rPr>
          <w:rFonts w:ascii="Times New Roman" w:eastAsia="Times New Roman" w:hAnsi="Times New Roman" w:cs="Times New Roman"/>
          <w:color w:val="000000"/>
          <w:lang w:eastAsia="fr-FR"/>
        </w:rPr>
        <w:t>s Cellules d’Assurance Interne d’assurance Qualité</w:t>
      </w:r>
      <w:r w:rsidRPr="00BF13A3">
        <w:rPr>
          <w:rFonts w:ascii="Times New Roman" w:eastAsia="Times New Roman" w:hAnsi="Times New Roman" w:cs="Times New Roman"/>
          <w:color w:val="000000"/>
          <w:lang w:eastAsia="fr-FR"/>
        </w:rPr>
        <w:t xml:space="preserve"> </w:t>
      </w:r>
      <w:r w:rsidR="00572175">
        <w:rPr>
          <w:rFonts w:ascii="Times New Roman" w:eastAsia="Times New Roman" w:hAnsi="Times New Roman" w:cs="Times New Roman"/>
          <w:color w:val="000000"/>
          <w:lang w:eastAsia="fr-FR"/>
        </w:rPr>
        <w:t>(</w:t>
      </w:r>
      <w:r w:rsidRPr="00BF13A3">
        <w:rPr>
          <w:rFonts w:ascii="Times New Roman" w:eastAsia="Times New Roman" w:hAnsi="Times New Roman" w:cs="Times New Roman"/>
          <w:color w:val="000000"/>
          <w:lang w:eastAsia="fr-FR"/>
        </w:rPr>
        <w:t>CIAQ</w:t>
      </w:r>
      <w:r w:rsidR="00572175">
        <w:rPr>
          <w:rFonts w:ascii="Times New Roman" w:eastAsia="Times New Roman" w:hAnsi="Times New Roman" w:cs="Times New Roman"/>
          <w:color w:val="000000"/>
          <w:lang w:eastAsia="fr-FR"/>
        </w:rPr>
        <w:t>)</w:t>
      </w:r>
      <w:r w:rsidRPr="00BF13A3">
        <w:rPr>
          <w:rFonts w:ascii="Times New Roman" w:eastAsia="Times New Roman" w:hAnsi="Times New Roman" w:cs="Times New Roman"/>
          <w:color w:val="000000"/>
          <w:lang w:eastAsia="fr-FR"/>
        </w:rPr>
        <w:t xml:space="preserve"> ont été </w:t>
      </w:r>
      <w:r w:rsidR="00EE2F52">
        <w:rPr>
          <w:rFonts w:ascii="Times New Roman" w:eastAsia="Times New Roman" w:hAnsi="Times New Roman" w:cs="Times New Roman"/>
          <w:color w:val="000000"/>
          <w:lang w:eastAsia="fr-FR"/>
        </w:rPr>
        <w:t>d’ores et déjà sensibilisés</w:t>
      </w:r>
      <w:r w:rsidRPr="00BF13A3">
        <w:rPr>
          <w:rFonts w:ascii="Times New Roman" w:eastAsia="Times New Roman" w:hAnsi="Times New Roman" w:cs="Times New Roman"/>
          <w:color w:val="000000"/>
          <w:lang w:eastAsia="fr-FR"/>
        </w:rPr>
        <w:t>.</w:t>
      </w:r>
      <w:r w:rsidR="00EE2F52">
        <w:rPr>
          <w:rFonts w:ascii="Times New Roman" w:eastAsia="Times New Roman" w:hAnsi="Times New Roman" w:cs="Times New Roman"/>
          <w:color w:val="000000"/>
          <w:lang w:eastAsia="fr-FR"/>
        </w:rPr>
        <w:t xml:space="preserve"> Les budgets de ses activités ont étés élaborés</w:t>
      </w:r>
      <w:r w:rsidR="000449EB">
        <w:rPr>
          <w:rFonts w:ascii="Times New Roman" w:eastAsia="Times New Roman" w:hAnsi="Times New Roman" w:cs="Times New Roman"/>
          <w:color w:val="000000"/>
          <w:lang w:eastAsia="fr-FR"/>
        </w:rPr>
        <w:t xml:space="preserve"> et estimés à un montant total de 56 millions de frs CFA</w:t>
      </w:r>
      <w:r w:rsidR="00EE2F52">
        <w:rPr>
          <w:rFonts w:ascii="Times New Roman" w:eastAsia="Times New Roman" w:hAnsi="Times New Roman" w:cs="Times New Roman"/>
          <w:color w:val="000000"/>
          <w:lang w:eastAsia="fr-FR"/>
        </w:rPr>
        <w:t>.</w:t>
      </w:r>
    </w:p>
    <w:p w14:paraId="0BEF902E" w14:textId="527D8EDB" w:rsidR="00B12D60" w:rsidRPr="00BF13A3" w:rsidRDefault="00B12D60" w:rsidP="009D11E8">
      <w:pPr>
        <w:spacing w:line="276" w:lineRule="auto"/>
        <w:rPr>
          <w:rFonts w:ascii="Times New Roman" w:eastAsia="Times New Roman" w:hAnsi="Times New Roman" w:cs="Times New Roman"/>
          <w:color w:val="000000"/>
          <w:lang w:eastAsia="fr-FR"/>
        </w:rPr>
      </w:pPr>
    </w:p>
    <w:p w14:paraId="6A2793F3" w14:textId="3B52B44E" w:rsidR="006B29D4" w:rsidRPr="00BF13A3" w:rsidRDefault="006B29D4" w:rsidP="009D11E8">
      <w:pPr>
        <w:spacing w:line="276" w:lineRule="auto"/>
        <w:rPr>
          <w:rFonts w:ascii="Times New Roman" w:eastAsia="Times New Roman" w:hAnsi="Times New Roman" w:cs="Times New Roman"/>
          <w:b/>
          <w:bCs/>
          <w:i/>
          <w:iCs/>
          <w:color w:val="000000"/>
          <w:lang w:eastAsia="fr-FR"/>
        </w:rPr>
      </w:pPr>
      <w:r w:rsidRPr="00BF13A3">
        <w:rPr>
          <w:rFonts w:ascii="Times New Roman" w:eastAsia="Times New Roman" w:hAnsi="Times New Roman" w:cs="Times New Roman"/>
          <w:b/>
          <w:bCs/>
          <w:i/>
          <w:iCs/>
          <w:color w:val="000000"/>
          <w:lang w:eastAsia="fr-FR"/>
        </w:rPr>
        <w:t xml:space="preserve">RLD4.2: Publications de </w:t>
      </w:r>
      <w:r w:rsidR="00D630EB" w:rsidRPr="00BF13A3">
        <w:rPr>
          <w:rFonts w:ascii="Times New Roman" w:eastAsia="Times New Roman" w:hAnsi="Times New Roman" w:cs="Times New Roman"/>
          <w:b/>
          <w:bCs/>
          <w:i/>
          <w:iCs/>
          <w:color w:val="000000"/>
          <w:lang w:eastAsia="fr-FR"/>
        </w:rPr>
        <w:t xml:space="preserve">résultats </w:t>
      </w:r>
      <w:r w:rsidRPr="00BF13A3">
        <w:rPr>
          <w:rFonts w:ascii="Times New Roman" w:eastAsia="Times New Roman" w:hAnsi="Times New Roman" w:cs="Times New Roman"/>
          <w:b/>
          <w:bCs/>
          <w:i/>
          <w:iCs/>
          <w:color w:val="000000"/>
          <w:lang w:eastAsia="fr-FR"/>
        </w:rPr>
        <w:t>recherche</w:t>
      </w:r>
    </w:p>
    <w:p w14:paraId="04114A28" w14:textId="46EC28AE" w:rsidR="00920D0D" w:rsidRDefault="00D630EB" w:rsidP="009D11E8">
      <w:pPr>
        <w:spacing w:line="276" w:lineRule="auto"/>
        <w:jc w:val="both"/>
        <w:rPr>
          <w:rFonts w:ascii="Times New Roman" w:hAnsi="Times New Roman" w:cs="Times New Roman"/>
        </w:rPr>
      </w:pPr>
      <w:r w:rsidRPr="00BF13A3">
        <w:rPr>
          <w:rFonts w:ascii="Times New Roman" w:hAnsi="Times New Roman" w:cs="Times New Roman"/>
        </w:rPr>
        <w:t>Des a</w:t>
      </w:r>
      <w:r w:rsidR="00102B80" w:rsidRPr="00BF13A3">
        <w:rPr>
          <w:rFonts w:ascii="Times New Roman" w:hAnsi="Times New Roman" w:cs="Times New Roman"/>
        </w:rPr>
        <w:t>telier</w:t>
      </w:r>
      <w:r w:rsidR="00C42E75">
        <w:rPr>
          <w:rFonts w:ascii="Times New Roman" w:hAnsi="Times New Roman" w:cs="Times New Roman"/>
        </w:rPr>
        <w:t>s</w:t>
      </w:r>
      <w:r w:rsidR="00102B80" w:rsidRPr="00BF13A3">
        <w:rPr>
          <w:rFonts w:ascii="Times New Roman" w:hAnsi="Times New Roman" w:cs="Times New Roman"/>
        </w:rPr>
        <w:t xml:space="preserve"> de rédaction </w:t>
      </w:r>
      <w:r w:rsidRPr="00BF13A3">
        <w:rPr>
          <w:rFonts w:ascii="Times New Roman" w:hAnsi="Times New Roman" w:cs="Times New Roman"/>
        </w:rPr>
        <w:t xml:space="preserve">d’articles de recherche </w:t>
      </w:r>
      <w:r w:rsidR="00102B80" w:rsidRPr="00BF13A3">
        <w:rPr>
          <w:rFonts w:ascii="Times New Roman" w:hAnsi="Times New Roman" w:cs="Times New Roman"/>
        </w:rPr>
        <w:t xml:space="preserve">pour publication </w:t>
      </w:r>
      <w:r w:rsidRPr="00BF13A3">
        <w:rPr>
          <w:rFonts w:ascii="Times New Roman" w:hAnsi="Times New Roman" w:cs="Times New Roman"/>
        </w:rPr>
        <w:t>sont programmés pour se tenir avant la fin août.</w:t>
      </w:r>
      <w:r w:rsidR="00F01B71">
        <w:rPr>
          <w:rFonts w:ascii="Times New Roman" w:eastAsia="Times New Roman" w:hAnsi="Times New Roman" w:cs="Times New Roman"/>
          <w:color w:val="222222"/>
          <w:lang w:eastAsia="fr-FR"/>
        </w:rPr>
        <w:t xml:space="preserve"> Par ailleurs , le CEA AGRISAN soutien les frais de publication dans les revues de la base de données SCOPUS. </w:t>
      </w:r>
      <w:r w:rsidR="00920D0D" w:rsidRPr="00BF13A3">
        <w:rPr>
          <w:rFonts w:ascii="Times New Roman" w:hAnsi="Times New Roman" w:cs="Times New Roman"/>
        </w:rPr>
        <w:t>De m</w:t>
      </w:r>
      <w:r w:rsidR="00CA3E6E" w:rsidRPr="00BF13A3">
        <w:rPr>
          <w:rFonts w:ascii="Times New Roman" w:hAnsi="Times New Roman" w:cs="Times New Roman"/>
        </w:rPr>
        <w:t>ê</w:t>
      </w:r>
      <w:r w:rsidR="00920D0D" w:rsidRPr="00BF13A3">
        <w:rPr>
          <w:rFonts w:ascii="Times New Roman" w:hAnsi="Times New Roman" w:cs="Times New Roman"/>
        </w:rPr>
        <w:t xml:space="preserve">me, des ateliers </w:t>
      </w:r>
      <w:r w:rsidR="00920D0D" w:rsidRPr="00BF13A3">
        <w:rPr>
          <w:rFonts w:ascii="Times New Roman" w:eastAsia="Times New Roman" w:hAnsi="Times New Roman" w:cs="Times New Roman"/>
          <w:color w:val="222222"/>
          <w:lang w:eastAsia="fr-FR"/>
        </w:rPr>
        <w:t xml:space="preserve">de traitement et </w:t>
      </w:r>
      <w:r w:rsidR="00DB0C16">
        <w:rPr>
          <w:rFonts w:ascii="Times New Roman" w:eastAsia="Times New Roman" w:hAnsi="Times New Roman" w:cs="Times New Roman"/>
          <w:color w:val="222222"/>
          <w:lang w:eastAsia="fr-FR"/>
        </w:rPr>
        <w:t>d’a</w:t>
      </w:r>
      <w:r w:rsidR="00DB0C16" w:rsidRPr="00BF13A3">
        <w:rPr>
          <w:rFonts w:ascii="Times New Roman" w:eastAsia="Times New Roman" w:hAnsi="Times New Roman" w:cs="Times New Roman"/>
          <w:color w:val="222222"/>
          <w:lang w:eastAsia="fr-FR"/>
        </w:rPr>
        <w:t xml:space="preserve">nalyse </w:t>
      </w:r>
      <w:r w:rsidR="00DB0C16">
        <w:rPr>
          <w:rFonts w:ascii="Times New Roman" w:eastAsia="Times New Roman" w:hAnsi="Times New Roman" w:cs="Times New Roman"/>
          <w:color w:val="222222"/>
          <w:lang w:eastAsia="fr-FR"/>
        </w:rPr>
        <w:t xml:space="preserve">statistiques </w:t>
      </w:r>
      <w:r w:rsidR="00920D0D" w:rsidRPr="00BF13A3">
        <w:rPr>
          <w:rFonts w:ascii="Times New Roman" w:eastAsia="Times New Roman" w:hAnsi="Times New Roman" w:cs="Times New Roman"/>
          <w:color w:val="222222"/>
          <w:lang w:eastAsia="fr-FR"/>
        </w:rPr>
        <w:t xml:space="preserve">des données avec un logiciel </w:t>
      </w:r>
      <w:proofErr w:type="spellStart"/>
      <w:r w:rsidR="005C606E" w:rsidRPr="00BF13A3">
        <w:rPr>
          <w:rFonts w:ascii="Times New Roman" w:eastAsia="Times New Roman" w:hAnsi="Times New Roman" w:cs="Times New Roman"/>
          <w:color w:val="222222"/>
          <w:lang w:eastAsia="fr-FR"/>
        </w:rPr>
        <w:t>usuté</w:t>
      </w:r>
      <w:proofErr w:type="spellEnd"/>
      <w:r w:rsidR="005C606E" w:rsidRPr="00BF13A3">
        <w:rPr>
          <w:rFonts w:ascii="Times New Roman" w:eastAsia="Times New Roman" w:hAnsi="Times New Roman" w:cs="Times New Roman"/>
          <w:color w:val="222222"/>
          <w:lang w:eastAsia="fr-FR"/>
        </w:rPr>
        <w:t xml:space="preserve"> </w:t>
      </w:r>
      <w:r w:rsidR="00920D0D" w:rsidRPr="00BF13A3">
        <w:rPr>
          <w:rFonts w:ascii="Times New Roman" w:eastAsia="Times New Roman" w:hAnsi="Times New Roman" w:cs="Times New Roman"/>
          <w:color w:val="222222"/>
          <w:lang w:eastAsia="fr-FR"/>
        </w:rPr>
        <w:t>dans les sciences de l'agronomie et de la sécurité alimentaire (ANOVA, ACP, Multiple r</w:t>
      </w:r>
      <w:r w:rsidR="005C606E" w:rsidRPr="00BF13A3">
        <w:rPr>
          <w:rFonts w:ascii="Times New Roman" w:eastAsia="Times New Roman" w:hAnsi="Times New Roman" w:cs="Times New Roman"/>
          <w:color w:val="222222"/>
          <w:lang w:eastAsia="fr-FR"/>
        </w:rPr>
        <w:t>é</w:t>
      </w:r>
      <w:r w:rsidR="00920D0D" w:rsidRPr="00BF13A3">
        <w:rPr>
          <w:rFonts w:ascii="Times New Roman" w:eastAsia="Times New Roman" w:hAnsi="Times New Roman" w:cs="Times New Roman"/>
          <w:color w:val="222222"/>
          <w:lang w:eastAsia="fr-FR"/>
        </w:rPr>
        <w:t xml:space="preserve">gression, etc....) </w:t>
      </w:r>
      <w:r w:rsidR="000A0522" w:rsidRPr="00BF13A3">
        <w:rPr>
          <w:rFonts w:ascii="Times New Roman" w:eastAsia="Times New Roman" w:hAnsi="Times New Roman" w:cs="Times New Roman"/>
          <w:color w:val="222222"/>
          <w:lang w:eastAsia="fr-FR"/>
        </w:rPr>
        <w:t>s</w:t>
      </w:r>
      <w:r w:rsidR="00920D0D" w:rsidRPr="00BF13A3">
        <w:rPr>
          <w:rFonts w:ascii="Times New Roman" w:eastAsia="Times New Roman" w:hAnsi="Times New Roman" w:cs="Times New Roman"/>
          <w:color w:val="222222"/>
          <w:lang w:eastAsia="fr-FR"/>
        </w:rPr>
        <w:t xml:space="preserve">ont </w:t>
      </w:r>
      <w:r w:rsidR="000A0522" w:rsidRPr="00BF13A3">
        <w:rPr>
          <w:rFonts w:ascii="Times New Roman" w:eastAsia="Times New Roman" w:hAnsi="Times New Roman" w:cs="Times New Roman"/>
          <w:color w:val="222222"/>
          <w:lang w:eastAsia="fr-FR"/>
        </w:rPr>
        <w:t>planifiés</w:t>
      </w:r>
      <w:r w:rsidR="00920D0D" w:rsidRPr="00BF13A3">
        <w:rPr>
          <w:rFonts w:ascii="Times New Roman" w:eastAsia="Times New Roman" w:hAnsi="Times New Roman" w:cs="Times New Roman"/>
          <w:color w:val="222222"/>
          <w:lang w:eastAsia="fr-FR"/>
        </w:rPr>
        <w:t xml:space="preserve"> pour </w:t>
      </w:r>
      <w:r w:rsidR="00DB0C16">
        <w:rPr>
          <w:rFonts w:ascii="Times New Roman" w:eastAsia="Times New Roman" w:hAnsi="Times New Roman" w:cs="Times New Roman"/>
          <w:color w:val="222222"/>
          <w:lang w:eastAsia="fr-FR"/>
        </w:rPr>
        <w:t>améliorer</w:t>
      </w:r>
      <w:r w:rsidR="00DB0C16" w:rsidRPr="00BF13A3">
        <w:rPr>
          <w:rFonts w:ascii="Times New Roman" w:eastAsia="Times New Roman" w:hAnsi="Times New Roman" w:cs="Times New Roman"/>
          <w:color w:val="222222"/>
          <w:lang w:eastAsia="fr-FR"/>
        </w:rPr>
        <w:t xml:space="preserve"> </w:t>
      </w:r>
      <w:r w:rsidR="00DB0C16">
        <w:rPr>
          <w:rFonts w:ascii="Times New Roman" w:eastAsia="Times New Roman" w:hAnsi="Times New Roman" w:cs="Times New Roman"/>
          <w:color w:val="222222"/>
          <w:lang w:eastAsia="fr-FR"/>
        </w:rPr>
        <w:t>la qualité d</w:t>
      </w:r>
      <w:r w:rsidR="00920D0D" w:rsidRPr="00BF13A3">
        <w:rPr>
          <w:rFonts w:ascii="Times New Roman" w:hAnsi="Times New Roman" w:cs="Times New Roman"/>
        </w:rPr>
        <w:t>es  publications</w:t>
      </w:r>
      <w:r w:rsidR="0046395B">
        <w:rPr>
          <w:rFonts w:ascii="Times New Roman" w:hAnsi="Times New Roman" w:cs="Times New Roman"/>
        </w:rPr>
        <w:t>.</w:t>
      </w:r>
      <w:r w:rsidR="00686D9E">
        <w:rPr>
          <w:rFonts w:ascii="Times New Roman" w:hAnsi="Times New Roman" w:cs="Times New Roman"/>
        </w:rPr>
        <w:t xml:space="preserve"> </w:t>
      </w:r>
    </w:p>
    <w:p w14:paraId="19E77BC4" w14:textId="2A73986B" w:rsidR="00102B80" w:rsidRPr="00BF13A3" w:rsidRDefault="00102B80" w:rsidP="009D11E8">
      <w:pPr>
        <w:spacing w:line="276" w:lineRule="auto"/>
        <w:rPr>
          <w:rFonts w:ascii="Times New Roman" w:eastAsia="Times New Roman" w:hAnsi="Times New Roman" w:cs="Times New Roman"/>
          <w:color w:val="222222"/>
          <w:lang w:eastAsia="fr-FR"/>
        </w:rPr>
      </w:pPr>
    </w:p>
    <w:p w14:paraId="7FFFB2F0" w14:textId="0B7F253B" w:rsidR="00504101" w:rsidRPr="00BF13A3" w:rsidRDefault="00857BC7" w:rsidP="009D11E8">
      <w:pPr>
        <w:spacing w:line="276" w:lineRule="auto"/>
        <w:rPr>
          <w:rFonts w:ascii="Times New Roman" w:eastAsia="Times New Roman" w:hAnsi="Times New Roman" w:cs="Times New Roman"/>
          <w:b/>
          <w:bCs/>
          <w:color w:val="000000"/>
          <w:lang w:eastAsia="fr-FR"/>
        </w:rPr>
      </w:pPr>
      <w:r w:rsidRPr="00BF13A3">
        <w:rPr>
          <w:rFonts w:ascii="Times New Roman" w:eastAsia="Times New Roman" w:hAnsi="Times New Roman" w:cs="Times New Roman"/>
          <w:b/>
          <w:bCs/>
          <w:i/>
          <w:iCs/>
          <w:color w:val="000000"/>
          <w:lang w:eastAsia="fr-FR"/>
        </w:rPr>
        <w:t>RLD4.3: Infrastructures pour la formation et la rechercha</w:t>
      </w:r>
    </w:p>
    <w:p w14:paraId="682364B2" w14:textId="5CC8396B" w:rsidR="00857BC7" w:rsidRPr="00BF13A3" w:rsidRDefault="00A21C9E" w:rsidP="009D11E8">
      <w:pPr>
        <w:spacing w:before="120" w:line="276" w:lineRule="auto"/>
        <w:jc w:val="both"/>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lastRenderedPageBreak/>
        <w:t>Cet ILD a fait l’objet de</w:t>
      </w:r>
      <w:r w:rsidR="002D0FF0" w:rsidRPr="00BF13A3">
        <w:rPr>
          <w:rFonts w:ascii="Times New Roman" w:eastAsia="Times New Roman" w:hAnsi="Times New Roman" w:cs="Times New Roman"/>
          <w:color w:val="000000"/>
          <w:lang w:eastAsia="fr-FR"/>
        </w:rPr>
        <w:t xml:space="preserve"> marchés d’acquisitions et des travaux de réhabilitation et d’aménagement</w:t>
      </w:r>
      <w:r w:rsidRPr="00BF13A3">
        <w:rPr>
          <w:rFonts w:ascii="Times New Roman" w:eastAsia="Times New Roman" w:hAnsi="Times New Roman" w:cs="Times New Roman"/>
          <w:color w:val="000000"/>
          <w:lang w:eastAsia="fr-FR"/>
        </w:rPr>
        <w:t xml:space="preserve">. Les marchés d’acquisitions de matériels et d’équipements </w:t>
      </w:r>
      <w:r w:rsidR="002D0FF0" w:rsidRPr="00BF13A3">
        <w:rPr>
          <w:rFonts w:ascii="Times New Roman" w:eastAsia="Times New Roman" w:hAnsi="Times New Roman" w:cs="Times New Roman"/>
          <w:color w:val="000000"/>
          <w:lang w:eastAsia="fr-FR"/>
        </w:rPr>
        <w:t xml:space="preserve">ont été lancés une première fois en </w:t>
      </w:r>
      <w:r w:rsidR="00C04015" w:rsidRPr="001726E0">
        <w:rPr>
          <w:rFonts w:ascii="Times New Roman" w:eastAsia="Times New Roman" w:hAnsi="Times New Roman" w:cs="Times New Roman"/>
          <w:color w:val="000000"/>
          <w:lang w:eastAsia="fr-FR"/>
        </w:rPr>
        <w:t>2021</w:t>
      </w:r>
      <w:r w:rsidR="00617C2F" w:rsidRPr="001726E0">
        <w:rPr>
          <w:rFonts w:ascii="Times New Roman" w:eastAsia="Times New Roman" w:hAnsi="Times New Roman" w:cs="Times New Roman"/>
          <w:color w:val="000000"/>
          <w:lang w:eastAsia="fr-FR"/>
        </w:rPr>
        <w:t xml:space="preserve"> sans succ</w:t>
      </w:r>
      <w:r w:rsidR="00FF39FF" w:rsidRPr="001726E0">
        <w:rPr>
          <w:rFonts w:ascii="Times New Roman" w:eastAsia="Times New Roman" w:hAnsi="Times New Roman" w:cs="Times New Roman"/>
          <w:color w:val="000000"/>
          <w:lang w:eastAsia="fr-FR"/>
        </w:rPr>
        <w:t>è</w:t>
      </w:r>
      <w:r w:rsidR="00617C2F" w:rsidRPr="001726E0">
        <w:rPr>
          <w:rFonts w:ascii="Times New Roman" w:eastAsia="Times New Roman" w:hAnsi="Times New Roman" w:cs="Times New Roman"/>
          <w:color w:val="000000"/>
          <w:lang w:eastAsia="fr-FR"/>
        </w:rPr>
        <w:t xml:space="preserve">s. </w:t>
      </w:r>
      <w:r w:rsidR="00F14FDC" w:rsidRPr="001726E0">
        <w:rPr>
          <w:rFonts w:ascii="Times New Roman" w:eastAsia="Times New Roman" w:hAnsi="Times New Roman" w:cs="Times New Roman"/>
          <w:color w:val="000000"/>
          <w:lang w:eastAsia="fr-FR"/>
        </w:rPr>
        <w:t xml:space="preserve">En fait, le marché était alloti suivant les besoins des </w:t>
      </w:r>
      <w:r w:rsidR="00B81FFE">
        <w:rPr>
          <w:rFonts w:ascii="Times New Roman" w:eastAsia="Times New Roman" w:hAnsi="Times New Roman" w:cs="Times New Roman"/>
          <w:color w:val="000000"/>
          <w:lang w:eastAsia="fr-FR"/>
        </w:rPr>
        <w:t>institutions</w:t>
      </w:r>
      <w:r w:rsidR="007411E2" w:rsidRPr="001726E0">
        <w:rPr>
          <w:rFonts w:ascii="Times New Roman" w:eastAsia="Times New Roman" w:hAnsi="Times New Roman" w:cs="Times New Roman"/>
          <w:color w:val="000000"/>
          <w:lang w:eastAsia="fr-FR"/>
        </w:rPr>
        <w:t xml:space="preserve">. Suite à l’évaluation des offres, il </w:t>
      </w:r>
      <w:r w:rsidR="00B6537E" w:rsidRPr="001726E0">
        <w:rPr>
          <w:rFonts w:ascii="Times New Roman" w:eastAsia="Times New Roman" w:hAnsi="Times New Roman" w:cs="Times New Roman"/>
          <w:color w:val="000000"/>
          <w:lang w:eastAsia="fr-FR"/>
        </w:rPr>
        <w:t xml:space="preserve">a </w:t>
      </w:r>
      <w:r w:rsidR="00FF39FF" w:rsidRPr="001726E0">
        <w:rPr>
          <w:rFonts w:ascii="Times New Roman" w:eastAsia="Times New Roman" w:hAnsi="Times New Roman" w:cs="Times New Roman"/>
          <w:color w:val="000000"/>
          <w:lang w:eastAsia="fr-FR"/>
        </w:rPr>
        <w:t>é</w:t>
      </w:r>
      <w:r w:rsidR="007411E2" w:rsidRPr="001726E0">
        <w:rPr>
          <w:rFonts w:ascii="Times New Roman" w:eastAsia="Times New Roman" w:hAnsi="Times New Roman" w:cs="Times New Roman"/>
          <w:color w:val="000000"/>
          <w:lang w:eastAsia="fr-FR"/>
        </w:rPr>
        <w:t>t</w:t>
      </w:r>
      <w:r w:rsidR="00B6537E" w:rsidRPr="001726E0">
        <w:rPr>
          <w:rFonts w:ascii="Times New Roman" w:eastAsia="Times New Roman" w:hAnsi="Times New Roman" w:cs="Times New Roman"/>
          <w:color w:val="000000"/>
          <w:lang w:eastAsia="fr-FR"/>
        </w:rPr>
        <w:t>é</w:t>
      </w:r>
      <w:r w:rsidR="007411E2" w:rsidRPr="001726E0">
        <w:rPr>
          <w:rFonts w:ascii="Times New Roman" w:eastAsia="Times New Roman" w:hAnsi="Times New Roman" w:cs="Times New Roman"/>
          <w:color w:val="000000"/>
          <w:lang w:eastAsia="fr-FR"/>
        </w:rPr>
        <w:t xml:space="preserve"> constaté que</w:t>
      </w:r>
      <w:r w:rsidR="00B6537E" w:rsidRPr="001726E0">
        <w:rPr>
          <w:rFonts w:ascii="Times New Roman" w:eastAsia="Times New Roman" w:hAnsi="Times New Roman" w:cs="Times New Roman"/>
          <w:color w:val="000000"/>
          <w:lang w:eastAsia="fr-FR"/>
        </w:rPr>
        <w:t xml:space="preserve"> 90% des lots</w:t>
      </w:r>
      <w:r w:rsidR="007411E2" w:rsidRPr="001726E0">
        <w:rPr>
          <w:rFonts w:ascii="Times New Roman" w:eastAsia="Times New Roman" w:hAnsi="Times New Roman" w:cs="Times New Roman"/>
          <w:color w:val="000000"/>
          <w:lang w:eastAsia="fr-FR"/>
        </w:rPr>
        <w:t xml:space="preserve"> dépassaient la prévision budgétaire.</w:t>
      </w:r>
      <w:r w:rsidR="00B81FFE">
        <w:rPr>
          <w:rFonts w:ascii="Times New Roman" w:eastAsia="Times New Roman" w:hAnsi="Times New Roman" w:cs="Times New Roman"/>
          <w:color w:val="000000"/>
          <w:lang w:eastAsia="fr-FR"/>
        </w:rPr>
        <w:t xml:space="preserve"> </w:t>
      </w:r>
      <w:r w:rsidR="001D1AD5" w:rsidRPr="00BF13A3">
        <w:rPr>
          <w:rFonts w:ascii="Times New Roman" w:eastAsia="Times New Roman" w:hAnsi="Times New Roman" w:cs="Times New Roman"/>
          <w:color w:val="000000"/>
          <w:lang w:eastAsia="fr-FR"/>
        </w:rPr>
        <w:t>Le processus a été totalement repris</w:t>
      </w:r>
      <w:r w:rsidRPr="00BF13A3">
        <w:rPr>
          <w:rFonts w:ascii="Times New Roman" w:eastAsia="Times New Roman" w:hAnsi="Times New Roman" w:cs="Times New Roman"/>
          <w:color w:val="000000"/>
          <w:lang w:eastAsia="fr-FR"/>
        </w:rPr>
        <w:t xml:space="preserve"> </w:t>
      </w:r>
      <w:r w:rsidR="001D1AD5" w:rsidRPr="00BF13A3">
        <w:rPr>
          <w:rFonts w:ascii="Times New Roman" w:eastAsia="Times New Roman" w:hAnsi="Times New Roman" w:cs="Times New Roman"/>
          <w:color w:val="000000"/>
          <w:lang w:eastAsia="fr-FR"/>
        </w:rPr>
        <w:t xml:space="preserve">et </w:t>
      </w:r>
      <w:r w:rsidR="00B81FFE">
        <w:rPr>
          <w:rFonts w:ascii="Times New Roman" w:eastAsia="Times New Roman" w:hAnsi="Times New Roman" w:cs="Times New Roman"/>
          <w:color w:val="000000"/>
          <w:lang w:eastAsia="fr-FR"/>
        </w:rPr>
        <w:t>les</w:t>
      </w:r>
      <w:r w:rsidR="001D1AD5" w:rsidRPr="00BF13A3">
        <w:rPr>
          <w:rFonts w:ascii="Times New Roman" w:eastAsia="Times New Roman" w:hAnsi="Times New Roman" w:cs="Times New Roman"/>
          <w:color w:val="000000"/>
          <w:lang w:eastAsia="fr-FR"/>
        </w:rPr>
        <w:t xml:space="preserve"> besoins revus </w:t>
      </w:r>
      <w:r w:rsidR="00B81FFE">
        <w:rPr>
          <w:rFonts w:ascii="Times New Roman" w:eastAsia="Times New Roman" w:hAnsi="Times New Roman" w:cs="Times New Roman"/>
          <w:color w:val="000000"/>
          <w:lang w:eastAsia="fr-FR"/>
        </w:rPr>
        <w:t>à la baisse</w:t>
      </w:r>
      <w:r w:rsidR="001D1AD5" w:rsidRPr="00BF13A3">
        <w:rPr>
          <w:rFonts w:ascii="Times New Roman" w:eastAsia="Times New Roman" w:hAnsi="Times New Roman" w:cs="Times New Roman"/>
          <w:color w:val="000000"/>
          <w:lang w:eastAsia="fr-FR"/>
        </w:rPr>
        <w:t xml:space="preserve">. </w:t>
      </w:r>
      <w:r w:rsidR="009B41FE" w:rsidRPr="00BF13A3">
        <w:rPr>
          <w:rFonts w:ascii="Times New Roman" w:eastAsia="Times New Roman" w:hAnsi="Times New Roman" w:cs="Times New Roman"/>
          <w:color w:val="000000"/>
          <w:lang w:eastAsia="fr-FR"/>
        </w:rPr>
        <w:t>Ce processus</w:t>
      </w:r>
      <w:r w:rsidR="001D1AD5" w:rsidRPr="00BF13A3">
        <w:rPr>
          <w:rFonts w:ascii="Times New Roman" w:eastAsia="Times New Roman" w:hAnsi="Times New Roman" w:cs="Times New Roman"/>
          <w:color w:val="000000"/>
          <w:lang w:eastAsia="fr-FR"/>
        </w:rPr>
        <w:t xml:space="preserve"> est complétement finalisé </w:t>
      </w:r>
      <w:r w:rsidR="009B41FE" w:rsidRPr="00BF13A3">
        <w:rPr>
          <w:rFonts w:ascii="Times New Roman" w:eastAsia="Times New Roman" w:hAnsi="Times New Roman" w:cs="Times New Roman"/>
          <w:color w:val="000000"/>
          <w:lang w:eastAsia="fr-FR"/>
        </w:rPr>
        <w:t xml:space="preserve">et les </w:t>
      </w:r>
      <w:r w:rsidR="0057330A" w:rsidRPr="00BF13A3">
        <w:rPr>
          <w:rFonts w:ascii="Times New Roman" w:eastAsia="Times New Roman" w:hAnsi="Times New Roman" w:cs="Times New Roman"/>
          <w:color w:val="000000"/>
          <w:lang w:eastAsia="fr-FR"/>
        </w:rPr>
        <w:t>contrats</w:t>
      </w:r>
      <w:r w:rsidR="009B41FE" w:rsidRPr="00BF13A3">
        <w:rPr>
          <w:rFonts w:ascii="Times New Roman" w:eastAsia="Times New Roman" w:hAnsi="Times New Roman" w:cs="Times New Roman"/>
          <w:color w:val="000000"/>
          <w:lang w:eastAsia="fr-FR"/>
        </w:rPr>
        <w:t xml:space="preserve"> signés avec les fournisseurs</w:t>
      </w:r>
      <w:r w:rsidR="00044BD6" w:rsidRPr="00BF13A3">
        <w:rPr>
          <w:rFonts w:ascii="Times New Roman" w:eastAsia="Times New Roman" w:hAnsi="Times New Roman" w:cs="Times New Roman"/>
          <w:color w:val="000000"/>
          <w:lang w:eastAsia="fr-FR"/>
        </w:rPr>
        <w:t xml:space="preserve"> </w:t>
      </w:r>
      <w:r w:rsidR="00B81FFE" w:rsidRPr="00BF13A3">
        <w:rPr>
          <w:rFonts w:ascii="Times New Roman" w:eastAsia="Times New Roman" w:hAnsi="Times New Roman" w:cs="Times New Roman"/>
          <w:color w:val="000000"/>
          <w:lang w:eastAsia="fr-FR"/>
        </w:rPr>
        <w:t>a</w:t>
      </w:r>
      <w:r w:rsidR="00B81FFE">
        <w:rPr>
          <w:rFonts w:ascii="Times New Roman" w:eastAsia="Times New Roman" w:hAnsi="Times New Roman" w:cs="Times New Roman"/>
          <w:color w:val="000000"/>
          <w:lang w:eastAsia="fr-FR"/>
        </w:rPr>
        <w:t>ttributaires</w:t>
      </w:r>
      <w:r w:rsidR="00B81FFE" w:rsidRPr="00BF13A3">
        <w:rPr>
          <w:rFonts w:ascii="Times New Roman" w:eastAsia="Times New Roman" w:hAnsi="Times New Roman" w:cs="Times New Roman"/>
          <w:color w:val="000000"/>
          <w:lang w:eastAsia="fr-FR"/>
        </w:rPr>
        <w:t xml:space="preserve"> </w:t>
      </w:r>
      <w:r w:rsidR="00044BD6" w:rsidRPr="00BF13A3">
        <w:rPr>
          <w:rFonts w:ascii="Times New Roman" w:eastAsia="Times New Roman" w:hAnsi="Times New Roman" w:cs="Times New Roman"/>
          <w:color w:val="000000"/>
          <w:lang w:eastAsia="fr-FR"/>
        </w:rPr>
        <w:t>des lots</w:t>
      </w:r>
      <w:r w:rsidR="009B41FE" w:rsidRPr="00BF13A3">
        <w:rPr>
          <w:rFonts w:ascii="Times New Roman" w:eastAsia="Times New Roman" w:hAnsi="Times New Roman" w:cs="Times New Roman"/>
          <w:color w:val="000000"/>
          <w:lang w:eastAsia="fr-FR"/>
        </w:rPr>
        <w:t>. Les livraisons sont en cours</w:t>
      </w:r>
      <w:r w:rsidR="00B81FFE">
        <w:rPr>
          <w:rFonts w:ascii="Times New Roman" w:eastAsia="Times New Roman" w:hAnsi="Times New Roman" w:cs="Times New Roman"/>
          <w:color w:val="000000"/>
          <w:lang w:eastAsia="fr-FR"/>
        </w:rPr>
        <w:t>.</w:t>
      </w:r>
      <w:r w:rsidR="00044BD6" w:rsidRPr="00BF13A3">
        <w:rPr>
          <w:rFonts w:ascii="Times New Roman" w:eastAsia="Times New Roman" w:hAnsi="Times New Roman" w:cs="Times New Roman"/>
          <w:color w:val="000000"/>
          <w:lang w:eastAsia="fr-FR"/>
        </w:rPr>
        <w:t xml:space="preserve"> Le</w:t>
      </w:r>
      <w:r w:rsidR="00B12EF9">
        <w:rPr>
          <w:rFonts w:ascii="Times New Roman" w:eastAsia="Times New Roman" w:hAnsi="Times New Roman" w:cs="Times New Roman"/>
          <w:color w:val="000000"/>
          <w:lang w:eastAsia="fr-FR"/>
        </w:rPr>
        <w:t xml:space="preserve">s listes et </w:t>
      </w:r>
      <w:r w:rsidR="00044BD6" w:rsidRPr="00BF13A3">
        <w:rPr>
          <w:rFonts w:ascii="Times New Roman" w:eastAsia="Times New Roman" w:hAnsi="Times New Roman" w:cs="Times New Roman"/>
          <w:color w:val="000000"/>
          <w:lang w:eastAsia="fr-FR"/>
        </w:rPr>
        <w:t xml:space="preserve">coût total de ce marché d’équipements est de </w:t>
      </w:r>
      <w:r w:rsidR="00FF39FF">
        <w:rPr>
          <w:rFonts w:ascii="Times New Roman" w:eastAsia="Times New Roman" w:hAnsi="Times New Roman" w:cs="Times New Roman"/>
          <w:color w:val="000000"/>
          <w:lang w:eastAsia="fr-FR"/>
        </w:rPr>
        <w:t>137 988 232 Fcfa  TTC</w:t>
      </w:r>
      <w:r w:rsidR="00FF39FF" w:rsidRPr="00FF39FF">
        <w:rPr>
          <w:rFonts w:ascii="Times New Roman" w:eastAsia="Times New Roman" w:hAnsi="Times New Roman" w:cs="Times New Roman"/>
          <w:color w:val="000000"/>
          <w:lang w:eastAsia="fr-FR"/>
        </w:rPr>
        <w:t xml:space="preserve"> </w:t>
      </w:r>
      <w:r w:rsidR="00044BD6" w:rsidRPr="00BF13A3">
        <w:rPr>
          <w:rFonts w:ascii="Times New Roman" w:eastAsia="Times New Roman" w:hAnsi="Times New Roman" w:cs="Times New Roman"/>
          <w:color w:val="000000"/>
          <w:lang w:eastAsia="fr-FR"/>
        </w:rPr>
        <w:t>CFA</w:t>
      </w:r>
      <w:r w:rsidR="00B12EF9">
        <w:rPr>
          <w:rFonts w:ascii="Times New Roman" w:eastAsia="Times New Roman" w:hAnsi="Times New Roman" w:cs="Times New Roman"/>
          <w:color w:val="000000"/>
          <w:lang w:eastAsia="fr-FR"/>
        </w:rPr>
        <w:t xml:space="preserve"> </w:t>
      </w:r>
      <w:r w:rsidR="003702D5">
        <w:rPr>
          <w:rFonts w:ascii="Times New Roman" w:eastAsia="Times New Roman" w:hAnsi="Times New Roman" w:cs="Times New Roman"/>
          <w:color w:val="000000"/>
          <w:lang w:eastAsia="fr-FR"/>
        </w:rPr>
        <w:t xml:space="preserve"> TTC </w:t>
      </w:r>
      <w:r w:rsidR="009E7E18">
        <w:rPr>
          <w:rFonts w:ascii="Times New Roman" w:eastAsia="Times New Roman" w:hAnsi="Times New Roman" w:cs="Times New Roman"/>
          <w:color w:val="000000"/>
          <w:lang w:eastAsia="fr-FR"/>
        </w:rPr>
        <w:t>(</w:t>
      </w:r>
      <w:proofErr w:type="spellStart"/>
      <w:r w:rsidR="009E7E18">
        <w:rPr>
          <w:rFonts w:ascii="Times New Roman" w:eastAsia="Times New Roman" w:hAnsi="Times New Roman" w:cs="Times New Roman"/>
          <w:color w:val="000000"/>
          <w:lang w:eastAsia="fr-FR"/>
        </w:rPr>
        <w:t>cf</w:t>
      </w:r>
      <w:proofErr w:type="spellEnd"/>
      <w:r w:rsidR="009E7E18">
        <w:rPr>
          <w:rFonts w:ascii="Times New Roman" w:eastAsia="Times New Roman" w:hAnsi="Times New Roman" w:cs="Times New Roman"/>
          <w:color w:val="000000"/>
          <w:lang w:eastAsia="fr-FR"/>
        </w:rPr>
        <w:t xml:space="preserve"> annexe</w:t>
      </w:r>
      <w:r w:rsidR="0025794F">
        <w:rPr>
          <w:rFonts w:ascii="Times New Roman" w:eastAsia="Times New Roman" w:hAnsi="Times New Roman" w:cs="Times New Roman"/>
          <w:color w:val="000000"/>
          <w:lang w:eastAsia="fr-FR"/>
        </w:rPr>
        <w:t xml:space="preserve"> 1</w:t>
      </w:r>
      <w:r w:rsidR="009E7E18">
        <w:rPr>
          <w:rFonts w:ascii="Times New Roman" w:eastAsia="Times New Roman" w:hAnsi="Times New Roman" w:cs="Times New Roman"/>
          <w:color w:val="000000"/>
          <w:lang w:eastAsia="fr-FR"/>
        </w:rPr>
        <w:t>).</w:t>
      </w:r>
    </w:p>
    <w:p w14:paraId="5973F88C" w14:textId="72275068" w:rsidR="005C606E" w:rsidRPr="006C51EF" w:rsidRDefault="00044BD6" w:rsidP="009D11E8">
      <w:pPr>
        <w:spacing w:before="120" w:line="276" w:lineRule="auto"/>
        <w:jc w:val="both"/>
        <w:rPr>
          <w:rFonts w:ascii="Calibri" w:hAnsi="Calibri"/>
          <w:b/>
          <w:bCs/>
          <w:i/>
          <w:iCs/>
          <w:color w:val="00B050"/>
          <w:sz w:val="28"/>
          <w:szCs w:val="28"/>
        </w:rPr>
      </w:pPr>
      <w:r w:rsidRPr="00BF13A3">
        <w:rPr>
          <w:rFonts w:ascii="Times New Roman" w:eastAsia="Times New Roman" w:hAnsi="Times New Roman" w:cs="Times New Roman"/>
          <w:color w:val="000000"/>
          <w:lang w:eastAsia="fr-FR"/>
        </w:rPr>
        <w:t xml:space="preserve">Le marché </w:t>
      </w:r>
      <w:r w:rsidR="00D32AE1" w:rsidRPr="00BF13A3">
        <w:rPr>
          <w:rFonts w:ascii="Times New Roman" w:eastAsia="Times New Roman" w:hAnsi="Times New Roman" w:cs="Times New Roman"/>
          <w:color w:val="000000"/>
          <w:lang w:eastAsia="fr-FR"/>
        </w:rPr>
        <w:t>de réhabilitations et d’aménagement</w:t>
      </w:r>
      <w:r w:rsidR="00A21C9E" w:rsidRPr="00BF13A3">
        <w:rPr>
          <w:rFonts w:ascii="Times New Roman" w:eastAsia="Times New Roman" w:hAnsi="Times New Roman" w:cs="Times New Roman"/>
          <w:color w:val="000000"/>
          <w:lang w:eastAsia="fr-FR"/>
        </w:rPr>
        <w:t xml:space="preserve">s </w:t>
      </w:r>
      <w:r w:rsidR="00D32AE1" w:rsidRPr="00BF13A3">
        <w:rPr>
          <w:rFonts w:ascii="Times New Roman" w:eastAsia="Times New Roman" w:hAnsi="Times New Roman" w:cs="Times New Roman"/>
          <w:color w:val="000000"/>
          <w:lang w:eastAsia="fr-FR"/>
        </w:rPr>
        <w:t>a été lancé</w:t>
      </w:r>
      <w:r w:rsidR="00642894" w:rsidRPr="00BF13A3">
        <w:rPr>
          <w:rFonts w:ascii="Times New Roman" w:eastAsia="Times New Roman" w:hAnsi="Times New Roman" w:cs="Times New Roman"/>
          <w:color w:val="000000"/>
          <w:lang w:eastAsia="fr-FR"/>
        </w:rPr>
        <w:t xml:space="preserve"> par lots</w:t>
      </w:r>
      <w:r w:rsidR="00D32AE1" w:rsidRPr="00BF13A3">
        <w:rPr>
          <w:rFonts w:ascii="Times New Roman" w:eastAsia="Times New Roman" w:hAnsi="Times New Roman" w:cs="Times New Roman"/>
          <w:color w:val="000000"/>
          <w:lang w:eastAsia="fr-FR"/>
        </w:rPr>
        <w:t xml:space="preserve">, le processus est finalisé les contrats sont signés avec les entreprises </w:t>
      </w:r>
      <w:r w:rsidR="00642894" w:rsidRPr="00BF13A3">
        <w:rPr>
          <w:rFonts w:ascii="Times New Roman" w:eastAsia="Times New Roman" w:hAnsi="Times New Roman" w:cs="Times New Roman"/>
          <w:color w:val="000000"/>
          <w:lang w:eastAsia="fr-FR"/>
        </w:rPr>
        <w:t xml:space="preserve">en charge des travaux pour les différents lots. Les </w:t>
      </w:r>
      <w:r w:rsidR="00BC32E4" w:rsidRPr="00BF13A3">
        <w:rPr>
          <w:rFonts w:ascii="Times New Roman" w:eastAsia="Times New Roman" w:hAnsi="Times New Roman" w:cs="Times New Roman"/>
          <w:color w:val="000000"/>
          <w:lang w:eastAsia="fr-FR"/>
        </w:rPr>
        <w:t>ordres de service</w:t>
      </w:r>
      <w:r w:rsidR="00642894" w:rsidRPr="00BF13A3">
        <w:rPr>
          <w:rFonts w:ascii="Times New Roman" w:eastAsia="Times New Roman" w:hAnsi="Times New Roman" w:cs="Times New Roman"/>
          <w:color w:val="000000"/>
          <w:lang w:eastAsia="fr-FR"/>
        </w:rPr>
        <w:t xml:space="preserve"> sont préparés et le démarrage des travaux attend </w:t>
      </w:r>
      <w:r w:rsidR="00507251" w:rsidRPr="00BF13A3">
        <w:rPr>
          <w:rFonts w:ascii="Times New Roman" w:eastAsia="Times New Roman" w:hAnsi="Times New Roman" w:cs="Times New Roman"/>
          <w:color w:val="000000"/>
          <w:lang w:eastAsia="fr-FR"/>
        </w:rPr>
        <w:t xml:space="preserve">juste </w:t>
      </w:r>
      <w:r w:rsidR="00642894" w:rsidRPr="00BF13A3">
        <w:rPr>
          <w:rFonts w:ascii="Times New Roman" w:eastAsia="Times New Roman" w:hAnsi="Times New Roman" w:cs="Times New Roman"/>
          <w:color w:val="000000"/>
          <w:lang w:eastAsia="fr-FR"/>
        </w:rPr>
        <w:t xml:space="preserve">l’ANO de la Banque Mondiale sur le PGES soumis. Le montant des travaux de réhabilitation de salles </w:t>
      </w:r>
      <w:r w:rsidR="00507251" w:rsidRPr="00BF13A3">
        <w:rPr>
          <w:rFonts w:ascii="Times New Roman" w:eastAsia="Times New Roman" w:hAnsi="Times New Roman" w:cs="Times New Roman"/>
          <w:color w:val="000000"/>
          <w:lang w:eastAsia="fr-FR"/>
        </w:rPr>
        <w:t xml:space="preserve">est </w:t>
      </w:r>
      <w:r w:rsidR="0045338C">
        <w:rPr>
          <w:rFonts w:ascii="Times New Roman" w:eastAsia="Times New Roman" w:hAnsi="Times New Roman" w:cs="Times New Roman"/>
          <w:color w:val="000000"/>
          <w:lang w:eastAsia="fr-FR"/>
        </w:rPr>
        <w:t>de 27</w:t>
      </w:r>
      <w:r w:rsidR="003702D5">
        <w:rPr>
          <w:rFonts w:ascii="Times New Roman" w:eastAsia="Times New Roman" w:hAnsi="Times New Roman" w:cs="Times New Roman"/>
          <w:color w:val="000000"/>
          <w:lang w:eastAsia="fr-FR"/>
        </w:rPr>
        <w:t>8</w:t>
      </w:r>
      <w:r w:rsidR="0045338C">
        <w:rPr>
          <w:rFonts w:ascii="Times New Roman" w:eastAsia="Times New Roman" w:hAnsi="Times New Roman" w:cs="Times New Roman"/>
          <w:color w:val="000000"/>
          <w:lang w:eastAsia="fr-FR"/>
        </w:rPr>
        <w:t>25000 CFA TTC</w:t>
      </w:r>
      <w:r w:rsidR="006C51EF">
        <w:rPr>
          <w:rFonts w:ascii="Calibri" w:hAnsi="Calibri"/>
          <w:b/>
          <w:bCs/>
          <w:i/>
          <w:iCs/>
          <w:color w:val="00B050"/>
          <w:sz w:val="28"/>
          <w:szCs w:val="28"/>
        </w:rPr>
        <w:t xml:space="preserve"> </w:t>
      </w:r>
      <w:r w:rsidR="00642894" w:rsidRPr="00BF13A3">
        <w:rPr>
          <w:rFonts w:ascii="Times New Roman" w:eastAsia="Times New Roman" w:hAnsi="Times New Roman" w:cs="Times New Roman"/>
          <w:color w:val="000000"/>
          <w:lang w:eastAsia="fr-FR"/>
        </w:rPr>
        <w:t xml:space="preserve">et </w:t>
      </w:r>
      <w:r w:rsidR="00507251" w:rsidRPr="00BF13A3">
        <w:rPr>
          <w:rFonts w:ascii="Times New Roman" w:eastAsia="Times New Roman" w:hAnsi="Times New Roman" w:cs="Times New Roman"/>
          <w:color w:val="000000"/>
          <w:lang w:eastAsia="fr-FR"/>
        </w:rPr>
        <w:t>le montant pour l’</w:t>
      </w:r>
      <w:r w:rsidR="00642894" w:rsidRPr="00BF13A3">
        <w:rPr>
          <w:rFonts w:ascii="Times New Roman" w:eastAsia="Times New Roman" w:hAnsi="Times New Roman" w:cs="Times New Roman"/>
          <w:color w:val="000000"/>
          <w:lang w:eastAsia="fr-FR"/>
        </w:rPr>
        <w:t xml:space="preserve">aménagement </w:t>
      </w:r>
      <w:r w:rsidR="00507251" w:rsidRPr="00BF13A3">
        <w:rPr>
          <w:rFonts w:ascii="Times New Roman" w:eastAsia="Times New Roman" w:hAnsi="Times New Roman" w:cs="Times New Roman"/>
          <w:color w:val="000000"/>
          <w:lang w:eastAsia="fr-FR"/>
        </w:rPr>
        <w:t>dans les</w:t>
      </w:r>
      <w:r w:rsidR="00642894" w:rsidRPr="00BF13A3">
        <w:rPr>
          <w:rFonts w:ascii="Times New Roman" w:eastAsia="Times New Roman" w:hAnsi="Times New Roman" w:cs="Times New Roman"/>
          <w:color w:val="000000"/>
          <w:lang w:eastAsia="fr-FR"/>
        </w:rPr>
        <w:t xml:space="preserve"> champ</w:t>
      </w:r>
      <w:r w:rsidR="00507251" w:rsidRPr="00BF13A3">
        <w:rPr>
          <w:rFonts w:ascii="Times New Roman" w:eastAsia="Times New Roman" w:hAnsi="Times New Roman" w:cs="Times New Roman"/>
          <w:color w:val="000000"/>
          <w:lang w:eastAsia="fr-FR"/>
        </w:rPr>
        <w:t>s</w:t>
      </w:r>
      <w:r w:rsidR="00642894" w:rsidRPr="00BF13A3">
        <w:rPr>
          <w:rFonts w:ascii="Times New Roman" w:eastAsia="Times New Roman" w:hAnsi="Times New Roman" w:cs="Times New Roman"/>
          <w:color w:val="000000"/>
          <w:lang w:eastAsia="fr-FR"/>
        </w:rPr>
        <w:t xml:space="preserve"> est de </w:t>
      </w:r>
      <w:r w:rsidR="007411E2" w:rsidRPr="003D7FC9">
        <w:rPr>
          <w:rFonts w:ascii="Times New Roman" w:eastAsia="Times New Roman" w:hAnsi="Times New Roman" w:cs="Times New Roman"/>
          <w:color w:val="000000"/>
          <w:lang w:eastAsia="fr-FR"/>
        </w:rPr>
        <w:t>52 425 000 FCFA TTC</w:t>
      </w:r>
      <w:r w:rsidR="00642894" w:rsidRPr="00BF13A3">
        <w:rPr>
          <w:rFonts w:ascii="Times New Roman" w:eastAsia="Times New Roman" w:hAnsi="Times New Roman" w:cs="Times New Roman"/>
          <w:color w:val="000000"/>
          <w:lang w:eastAsia="fr-FR"/>
        </w:rPr>
        <w:t xml:space="preserve">. </w:t>
      </w:r>
      <w:r w:rsidR="003D7FC9">
        <w:rPr>
          <w:rFonts w:ascii="Times New Roman" w:eastAsia="Times New Roman" w:hAnsi="Times New Roman" w:cs="Times New Roman"/>
          <w:color w:val="000000"/>
          <w:lang w:eastAsia="fr-FR"/>
        </w:rPr>
        <w:t>Selon l</w:t>
      </w:r>
      <w:r w:rsidR="003702D5">
        <w:rPr>
          <w:rFonts w:ascii="Times New Roman" w:eastAsia="Times New Roman" w:hAnsi="Times New Roman" w:cs="Times New Roman"/>
          <w:color w:val="000000"/>
          <w:lang w:eastAsia="fr-FR"/>
        </w:rPr>
        <w:t>es termes du contrat</w:t>
      </w:r>
      <w:r w:rsidR="003D7FC9">
        <w:rPr>
          <w:rFonts w:ascii="Times New Roman" w:eastAsia="Times New Roman" w:hAnsi="Times New Roman" w:cs="Times New Roman"/>
          <w:color w:val="000000"/>
          <w:lang w:eastAsia="fr-FR"/>
        </w:rPr>
        <w:t>, l</w:t>
      </w:r>
      <w:r w:rsidR="00642894" w:rsidRPr="00BF13A3">
        <w:rPr>
          <w:rFonts w:ascii="Times New Roman" w:eastAsia="Times New Roman" w:hAnsi="Times New Roman" w:cs="Times New Roman"/>
          <w:color w:val="000000"/>
          <w:lang w:eastAsia="fr-FR"/>
        </w:rPr>
        <w:t>es délais d’</w:t>
      </w:r>
      <w:r w:rsidR="00BC32E4" w:rsidRPr="00BF13A3">
        <w:rPr>
          <w:rFonts w:ascii="Times New Roman" w:eastAsia="Times New Roman" w:hAnsi="Times New Roman" w:cs="Times New Roman"/>
          <w:color w:val="000000"/>
          <w:lang w:eastAsia="fr-FR"/>
        </w:rPr>
        <w:t>e</w:t>
      </w:r>
      <w:r w:rsidR="00642894" w:rsidRPr="00BF13A3">
        <w:rPr>
          <w:rFonts w:ascii="Times New Roman" w:eastAsia="Times New Roman" w:hAnsi="Times New Roman" w:cs="Times New Roman"/>
          <w:color w:val="000000"/>
          <w:lang w:eastAsia="fr-FR"/>
        </w:rPr>
        <w:t xml:space="preserve">xécution sont de 60 jours </w:t>
      </w:r>
      <w:r w:rsidR="003D7FC9">
        <w:rPr>
          <w:rFonts w:ascii="Times New Roman" w:eastAsia="Times New Roman" w:hAnsi="Times New Roman" w:cs="Times New Roman"/>
          <w:color w:val="000000"/>
          <w:lang w:eastAsia="fr-FR"/>
        </w:rPr>
        <w:t xml:space="preserve">à </w:t>
      </w:r>
      <w:r w:rsidR="00642894" w:rsidRPr="00BF13A3">
        <w:rPr>
          <w:rFonts w:ascii="Times New Roman" w:eastAsia="Times New Roman" w:hAnsi="Times New Roman" w:cs="Times New Roman"/>
          <w:color w:val="000000"/>
          <w:lang w:eastAsia="fr-FR"/>
        </w:rPr>
        <w:t>compter de</w:t>
      </w:r>
      <w:r w:rsidR="00507251" w:rsidRPr="00BF13A3">
        <w:rPr>
          <w:rFonts w:ascii="Times New Roman" w:eastAsia="Times New Roman" w:hAnsi="Times New Roman" w:cs="Times New Roman"/>
          <w:color w:val="000000"/>
          <w:lang w:eastAsia="fr-FR"/>
        </w:rPr>
        <w:t>s</w:t>
      </w:r>
      <w:r w:rsidR="00642894" w:rsidRPr="00BF13A3">
        <w:rPr>
          <w:rFonts w:ascii="Times New Roman" w:eastAsia="Times New Roman" w:hAnsi="Times New Roman" w:cs="Times New Roman"/>
          <w:color w:val="000000"/>
          <w:lang w:eastAsia="fr-FR"/>
        </w:rPr>
        <w:t xml:space="preserve"> date</w:t>
      </w:r>
      <w:r w:rsidR="00507251" w:rsidRPr="00BF13A3">
        <w:rPr>
          <w:rFonts w:ascii="Times New Roman" w:eastAsia="Times New Roman" w:hAnsi="Times New Roman" w:cs="Times New Roman"/>
          <w:color w:val="000000"/>
          <w:lang w:eastAsia="fr-FR"/>
        </w:rPr>
        <w:t>s</w:t>
      </w:r>
      <w:r w:rsidR="00642894" w:rsidRPr="00BF13A3">
        <w:rPr>
          <w:rFonts w:ascii="Times New Roman" w:eastAsia="Times New Roman" w:hAnsi="Times New Roman" w:cs="Times New Roman"/>
          <w:color w:val="000000"/>
          <w:lang w:eastAsia="fr-FR"/>
        </w:rPr>
        <w:t xml:space="preserve"> de </w:t>
      </w:r>
      <w:r w:rsidR="00BC32E4" w:rsidRPr="00BF13A3">
        <w:rPr>
          <w:rFonts w:ascii="Times New Roman" w:eastAsia="Times New Roman" w:hAnsi="Times New Roman" w:cs="Times New Roman"/>
          <w:color w:val="000000"/>
          <w:lang w:eastAsia="fr-FR"/>
        </w:rPr>
        <w:t xml:space="preserve">signature de l’ordre de </w:t>
      </w:r>
      <w:r w:rsidR="00507251" w:rsidRPr="00BF13A3">
        <w:rPr>
          <w:rFonts w:ascii="Times New Roman" w:eastAsia="Times New Roman" w:hAnsi="Times New Roman" w:cs="Times New Roman"/>
          <w:color w:val="000000"/>
          <w:lang w:eastAsia="fr-FR"/>
        </w:rPr>
        <w:t xml:space="preserve"> service pour le </w:t>
      </w:r>
      <w:r w:rsidR="00BC32E4" w:rsidRPr="00BF13A3">
        <w:rPr>
          <w:rFonts w:ascii="Times New Roman" w:eastAsia="Times New Roman" w:hAnsi="Times New Roman" w:cs="Times New Roman"/>
          <w:color w:val="000000"/>
          <w:lang w:eastAsia="fr-FR"/>
        </w:rPr>
        <w:t>démarrage</w:t>
      </w:r>
      <w:r w:rsidR="00507251" w:rsidRPr="00BF13A3">
        <w:rPr>
          <w:rFonts w:ascii="Times New Roman" w:eastAsia="Times New Roman" w:hAnsi="Times New Roman" w:cs="Times New Roman"/>
          <w:color w:val="000000"/>
          <w:lang w:eastAsia="fr-FR"/>
        </w:rPr>
        <w:t>. Le détail sur ce marché de réhabilitation</w:t>
      </w:r>
      <w:r w:rsidR="00A21C9E" w:rsidRPr="00BF13A3">
        <w:rPr>
          <w:rFonts w:ascii="Times New Roman" w:eastAsia="Times New Roman" w:hAnsi="Times New Roman" w:cs="Times New Roman"/>
          <w:color w:val="000000"/>
          <w:lang w:eastAsia="fr-FR"/>
        </w:rPr>
        <w:t>s</w:t>
      </w:r>
      <w:r w:rsidR="00507251" w:rsidRPr="00BF13A3">
        <w:rPr>
          <w:rFonts w:ascii="Times New Roman" w:eastAsia="Times New Roman" w:hAnsi="Times New Roman" w:cs="Times New Roman"/>
          <w:color w:val="000000"/>
          <w:lang w:eastAsia="fr-FR"/>
        </w:rPr>
        <w:t xml:space="preserve"> et d’aménagement</w:t>
      </w:r>
      <w:r w:rsidR="00A21C9E" w:rsidRPr="00BF13A3">
        <w:rPr>
          <w:rFonts w:ascii="Times New Roman" w:eastAsia="Times New Roman" w:hAnsi="Times New Roman" w:cs="Times New Roman"/>
          <w:color w:val="000000"/>
          <w:lang w:eastAsia="fr-FR"/>
        </w:rPr>
        <w:t>s</w:t>
      </w:r>
      <w:r w:rsidR="00507251" w:rsidRPr="00BF13A3">
        <w:rPr>
          <w:rFonts w:ascii="Times New Roman" w:eastAsia="Times New Roman" w:hAnsi="Times New Roman" w:cs="Times New Roman"/>
          <w:color w:val="000000"/>
          <w:lang w:eastAsia="fr-FR"/>
        </w:rPr>
        <w:t xml:space="preserve"> ainsi que son niveau d’exécution sont conscrits</w:t>
      </w:r>
      <w:r w:rsidR="00D30550">
        <w:rPr>
          <w:rFonts w:ascii="Times New Roman" w:eastAsia="Times New Roman" w:hAnsi="Times New Roman" w:cs="Times New Roman"/>
          <w:color w:val="000000"/>
          <w:lang w:eastAsia="fr-FR"/>
        </w:rPr>
        <w:t>(C</w:t>
      </w:r>
      <w:r w:rsidR="0025794F">
        <w:rPr>
          <w:rFonts w:ascii="Times New Roman" w:eastAsia="Times New Roman" w:hAnsi="Times New Roman" w:cs="Times New Roman"/>
          <w:color w:val="000000"/>
          <w:lang w:eastAsia="fr-FR"/>
        </w:rPr>
        <w:t>f annexe 1).</w:t>
      </w:r>
    </w:p>
    <w:p w14:paraId="73957792" w14:textId="77777777" w:rsidR="005C606E" w:rsidRPr="00BF13A3" w:rsidRDefault="005C606E" w:rsidP="009D11E8">
      <w:pPr>
        <w:spacing w:line="276" w:lineRule="auto"/>
        <w:rPr>
          <w:rFonts w:ascii="Times New Roman" w:eastAsia="Times New Roman" w:hAnsi="Times New Roman" w:cs="Times New Roman"/>
          <w:color w:val="000000"/>
          <w:lang w:eastAsia="fr-FR"/>
        </w:rPr>
      </w:pPr>
    </w:p>
    <w:p w14:paraId="1352EAFF" w14:textId="64ED55C1" w:rsidR="006B29D4" w:rsidRPr="00BF13A3" w:rsidRDefault="006B29D4" w:rsidP="009D11E8">
      <w:pPr>
        <w:spacing w:line="276" w:lineRule="auto"/>
        <w:rPr>
          <w:rFonts w:ascii="Times New Roman" w:eastAsia="Times New Roman" w:hAnsi="Times New Roman" w:cs="Times New Roman"/>
          <w:b/>
          <w:bCs/>
          <w:i/>
          <w:iCs/>
          <w:color w:val="000000"/>
          <w:lang w:eastAsia="fr-FR"/>
        </w:rPr>
      </w:pPr>
      <w:r w:rsidRPr="00BF13A3">
        <w:rPr>
          <w:rFonts w:ascii="Times New Roman" w:eastAsia="Times New Roman" w:hAnsi="Times New Roman" w:cs="Times New Roman"/>
          <w:b/>
          <w:bCs/>
          <w:i/>
          <w:iCs/>
          <w:color w:val="000000"/>
          <w:lang w:eastAsia="fr-FR"/>
        </w:rPr>
        <w:t>RLD5.1: Génération de revenus externes</w:t>
      </w:r>
    </w:p>
    <w:p w14:paraId="46FBD93D" w14:textId="6A237397" w:rsidR="00954375" w:rsidRPr="002C4518" w:rsidRDefault="00102B80" w:rsidP="009D11E8">
      <w:pPr>
        <w:spacing w:before="120" w:line="276" w:lineRule="auto"/>
        <w:jc w:val="both"/>
        <w:rPr>
          <w:rFonts w:ascii="Times New Roman" w:eastAsia="Times New Roman" w:hAnsi="Times New Roman" w:cs="Times New Roman"/>
          <w:color w:val="000000"/>
          <w:lang w:eastAsia="fr-FR"/>
        </w:rPr>
      </w:pPr>
      <w:r w:rsidRPr="002C4518">
        <w:rPr>
          <w:rFonts w:ascii="Times New Roman" w:eastAsia="Times New Roman" w:hAnsi="Times New Roman" w:cs="Times New Roman"/>
          <w:color w:val="000000"/>
          <w:lang w:eastAsia="fr-FR"/>
        </w:rPr>
        <w:t xml:space="preserve">Des projets de recherche financés </w:t>
      </w:r>
      <w:r w:rsidR="00723A85">
        <w:rPr>
          <w:rFonts w:ascii="Times New Roman" w:eastAsia="Times New Roman" w:hAnsi="Times New Roman" w:cs="Times New Roman"/>
          <w:color w:val="000000"/>
          <w:lang w:eastAsia="fr-FR"/>
        </w:rPr>
        <w:t xml:space="preserve">aux équipes de recherche </w:t>
      </w:r>
      <w:r w:rsidRPr="002C4518">
        <w:rPr>
          <w:rFonts w:ascii="Times New Roman" w:eastAsia="Times New Roman" w:hAnsi="Times New Roman" w:cs="Times New Roman"/>
          <w:color w:val="000000"/>
          <w:lang w:eastAsia="fr-FR"/>
        </w:rPr>
        <w:t>des institutions membres du consortium sont hébergés dans les</w:t>
      </w:r>
      <w:r w:rsidR="00D30550">
        <w:rPr>
          <w:rFonts w:ascii="Times New Roman" w:eastAsia="Times New Roman" w:hAnsi="Times New Roman" w:cs="Times New Roman"/>
          <w:color w:val="000000"/>
          <w:lang w:eastAsia="fr-FR"/>
        </w:rPr>
        <w:t xml:space="preserve"> comptes institutionnels des</w:t>
      </w:r>
      <w:r w:rsidRPr="002C4518">
        <w:rPr>
          <w:rFonts w:ascii="Times New Roman" w:eastAsia="Times New Roman" w:hAnsi="Times New Roman" w:cs="Times New Roman"/>
          <w:color w:val="000000"/>
          <w:lang w:eastAsia="fr-FR"/>
        </w:rPr>
        <w:t xml:space="preserve"> </w:t>
      </w:r>
      <w:r w:rsidR="00686D9E">
        <w:rPr>
          <w:rFonts w:ascii="Times New Roman" w:eastAsia="Times New Roman" w:hAnsi="Times New Roman" w:cs="Times New Roman"/>
          <w:color w:val="000000"/>
          <w:lang w:eastAsia="fr-FR"/>
        </w:rPr>
        <w:t>u</w:t>
      </w:r>
      <w:r w:rsidR="00686D9E" w:rsidRPr="002C4518">
        <w:rPr>
          <w:rFonts w:ascii="Times New Roman" w:eastAsia="Times New Roman" w:hAnsi="Times New Roman" w:cs="Times New Roman"/>
          <w:color w:val="000000"/>
          <w:lang w:eastAsia="fr-FR"/>
        </w:rPr>
        <w:t>niversités</w:t>
      </w:r>
      <w:r w:rsidR="00504101" w:rsidRPr="002C4518">
        <w:rPr>
          <w:rFonts w:ascii="Times New Roman" w:eastAsia="Times New Roman" w:hAnsi="Times New Roman" w:cs="Times New Roman"/>
          <w:color w:val="000000"/>
          <w:lang w:eastAsia="fr-FR"/>
        </w:rPr>
        <w:t>. L</w:t>
      </w:r>
      <w:r w:rsidR="00954375" w:rsidRPr="002C4518">
        <w:rPr>
          <w:rFonts w:ascii="Times New Roman" w:eastAsia="Times New Roman" w:hAnsi="Times New Roman" w:cs="Times New Roman"/>
          <w:color w:val="000000"/>
          <w:lang w:eastAsia="fr-FR"/>
        </w:rPr>
        <w:t xml:space="preserve">es exigences des bailleurs font que ces fonds ne peuvent </w:t>
      </w:r>
      <w:r w:rsidR="00686D9E">
        <w:rPr>
          <w:rFonts w:ascii="Times New Roman" w:eastAsia="Times New Roman" w:hAnsi="Times New Roman" w:cs="Times New Roman"/>
          <w:color w:val="000000"/>
          <w:lang w:eastAsia="fr-FR"/>
        </w:rPr>
        <w:t xml:space="preserve">pas </w:t>
      </w:r>
      <w:r w:rsidR="00954375" w:rsidRPr="002C4518">
        <w:rPr>
          <w:rFonts w:ascii="Times New Roman" w:eastAsia="Times New Roman" w:hAnsi="Times New Roman" w:cs="Times New Roman"/>
          <w:color w:val="000000"/>
          <w:lang w:eastAsia="fr-FR"/>
        </w:rPr>
        <w:t>transiter par les comptes du CEA</w:t>
      </w:r>
      <w:r w:rsidR="00160F76">
        <w:rPr>
          <w:rFonts w:ascii="Times New Roman" w:eastAsia="Times New Roman" w:hAnsi="Times New Roman" w:cs="Times New Roman"/>
          <w:color w:val="000000"/>
          <w:lang w:eastAsia="fr-FR"/>
        </w:rPr>
        <w:t xml:space="preserve"> et comptabilisé comme </w:t>
      </w:r>
      <w:r w:rsidR="00160F76" w:rsidRPr="002C4518">
        <w:rPr>
          <w:rFonts w:ascii="Times New Roman" w:eastAsia="Times New Roman" w:hAnsi="Times New Roman" w:cs="Times New Roman"/>
          <w:color w:val="000000"/>
          <w:lang w:eastAsia="fr-FR"/>
        </w:rPr>
        <w:t>ressources externes générées par le centre</w:t>
      </w:r>
      <w:r w:rsidR="00954375" w:rsidRPr="002C4518">
        <w:rPr>
          <w:rFonts w:ascii="Times New Roman" w:eastAsia="Times New Roman" w:hAnsi="Times New Roman" w:cs="Times New Roman"/>
          <w:color w:val="000000"/>
          <w:lang w:eastAsia="fr-FR"/>
        </w:rPr>
        <w:t xml:space="preserve">. </w:t>
      </w:r>
      <w:r w:rsidR="00504101" w:rsidRPr="002C4518">
        <w:rPr>
          <w:rFonts w:ascii="Times New Roman" w:eastAsia="Times New Roman" w:hAnsi="Times New Roman" w:cs="Times New Roman"/>
          <w:color w:val="000000"/>
          <w:lang w:eastAsia="fr-FR"/>
        </w:rPr>
        <w:t>Pour</w:t>
      </w:r>
      <w:r w:rsidR="00160F76">
        <w:rPr>
          <w:rFonts w:ascii="Times New Roman" w:eastAsia="Times New Roman" w:hAnsi="Times New Roman" w:cs="Times New Roman"/>
          <w:color w:val="000000"/>
          <w:lang w:eastAsia="fr-FR"/>
        </w:rPr>
        <w:t xml:space="preserve"> ce faire, </w:t>
      </w:r>
      <w:r w:rsidR="00504101" w:rsidRPr="002C4518">
        <w:rPr>
          <w:rFonts w:ascii="Times New Roman" w:eastAsia="Times New Roman" w:hAnsi="Times New Roman" w:cs="Times New Roman"/>
          <w:color w:val="000000"/>
          <w:lang w:eastAsia="fr-FR"/>
        </w:rPr>
        <w:t xml:space="preserve">la coordination va </w:t>
      </w:r>
      <w:r w:rsidR="00160F76">
        <w:rPr>
          <w:rFonts w:ascii="Times New Roman" w:eastAsia="Times New Roman" w:hAnsi="Times New Roman" w:cs="Times New Roman"/>
          <w:color w:val="000000"/>
          <w:lang w:eastAsia="fr-FR"/>
        </w:rPr>
        <w:t xml:space="preserve">répertorier ces fonds à faire certifier </w:t>
      </w:r>
      <w:r w:rsidR="00954375" w:rsidRPr="002C4518">
        <w:rPr>
          <w:rFonts w:ascii="Times New Roman" w:eastAsia="Times New Roman" w:hAnsi="Times New Roman" w:cs="Times New Roman"/>
          <w:color w:val="000000"/>
          <w:lang w:eastAsia="fr-FR"/>
        </w:rPr>
        <w:t xml:space="preserve"> par les ACP et les Recteurs pour </w:t>
      </w:r>
      <w:r w:rsidR="00504101" w:rsidRPr="002C4518">
        <w:rPr>
          <w:rFonts w:ascii="Times New Roman" w:eastAsia="Times New Roman" w:hAnsi="Times New Roman" w:cs="Times New Roman"/>
          <w:color w:val="000000"/>
          <w:lang w:eastAsia="fr-FR"/>
        </w:rPr>
        <w:t>fournir</w:t>
      </w:r>
      <w:r w:rsidR="00954375" w:rsidRPr="002C4518">
        <w:rPr>
          <w:rFonts w:ascii="Times New Roman" w:eastAsia="Times New Roman" w:hAnsi="Times New Roman" w:cs="Times New Roman"/>
          <w:color w:val="000000"/>
          <w:lang w:eastAsia="fr-FR"/>
        </w:rPr>
        <w:t xml:space="preserve"> la preuve à la BM. Le principe n</w:t>
      </w:r>
      <w:r w:rsidR="00CA3E6E" w:rsidRPr="002C4518">
        <w:rPr>
          <w:rFonts w:ascii="Times New Roman" w:eastAsia="Times New Roman" w:hAnsi="Times New Roman" w:cs="Times New Roman"/>
          <w:color w:val="000000"/>
          <w:lang w:eastAsia="fr-FR"/>
        </w:rPr>
        <w:t>é</w:t>
      </w:r>
      <w:r w:rsidR="00954375" w:rsidRPr="002C4518">
        <w:rPr>
          <w:rFonts w:ascii="Times New Roman" w:eastAsia="Times New Roman" w:hAnsi="Times New Roman" w:cs="Times New Roman"/>
          <w:color w:val="000000"/>
          <w:lang w:eastAsia="fr-FR"/>
        </w:rPr>
        <w:t>cessite cep</w:t>
      </w:r>
      <w:r w:rsidR="00AE789F" w:rsidRPr="002C4518">
        <w:rPr>
          <w:rFonts w:ascii="Times New Roman" w:eastAsia="Times New Roman" w:hAnsi="Times New Roman" w:cs="Times New Roman"/>
          <w:color w:val="000000"/>
          <w:lang w:eastAsia="fr-FR"/>
        </w:rPr>
        <w:t>e</w:t>
      </w:r>
      <w:r w:rsidR="00954375" w:rsidRPr="002C4518">
        <w:rPr>
          <w:rFonts w:ascii="Times New Roman" w:eastAsia="Times New Roman" w:hAnsi="Times New Roman" w:cs="Times New Roman"/>
          <w:color w:val="000000"/>
          <w:lang w:eastAsia="fr-FR"/>
        </w:rPr>
        <w:t>ndant un plaidoyer au niveau de la BM pour acceptation.</w:t>
      </w:r>
    </w:p>
    <w:p w14:paraId="555F51C6" w14:textId="75048AEC" w:rsidR="00954375" w:rsidRPr="002C4518" w:rsidRDefault="00504101" w:rsidP="009D11E8">
      <w:pPr>
        <w:spacing w:before="120" w:line="276" w:lineRule="auto"/>
        <w:jc w:val="both"/>
        <w:rPr>
          <w:rFonts w:ascii="Times New Roman" w:eastAsia="Times New Roman" w:hAnsi="Times New Roman" w:cs="Times New Roman"/>
          <w:color w:val="000000"/>
          <w:lang w:eastAsia="fr-FR"/>
        </w:rPr>
      </w:pPr>
      <w:r w:rsidRPr="002C4518">
        <w:rPr>
          <w:rFonts w:ascii="Times New Roman" w:eastAsia="Times New Roman" w:hAnsi="Times New Roman" w:cs="Times New Roman"/>
          <w:color w:val="000000"/>
          <w:lang w:eastAsia="fr-FR"/>
        </w:rPr>
        <w:t xml:space="preserve">Un plaidoyer </w:t>
      </w:r>
      <w:r w:rsidR="0062142A" w:rsidRPr="002C4518">
        <w:rPr>
          <w:rFonts w:ascii="Times New Roman" w:eastAsia="Times New Roman" w:hAnsi="Times New Roman" w:cs="Times New Roman"/>
          <w:color w:val="000000"/>
          <w:lang w:eastAsia="fr-FR"/>
        </w:rPr>
        <w:t>sera porté</w:t>
      </w:r>
      <w:r w:rsidRPr="002C4518">
        <w:rPr>
          <w:rFonts w:ascii="Times New Roman" w:eastAsia="Times New Roman" w:hAnsi="Times New Roman" w:cs="Times New Roman"/>
          <w:color w:val="000000"/>
          <w:lang w:eastAsia="fr-FR"/>
        </w:rPr>
        <w:t xml:space="preserve"> auprès des institutions membres d</w:t>
      </w:r>
      <w:r w:rsidR="005B4DE7">
        <w:rPr>
          <w:rFonts w:ascii="Times New Roman" w:eastAsia="Times New Roman" w:hAnsi="Times New Roman" w:cs="Times New Roman"/>
          <w:color w:val="000000"/>
          <w:lang w:eastAsia="fr-FR"/>
        </w:rPr>
        <w:t>u</w:t>
      </w:r>
      <w:r w:rsidRPr="002C4518">
        <w:rPr>
          <w:rFonts w:ascii="Times New Roman" w:eastAsia="Times New Roman" w:hAnsi="Times New Roman" w:cs="Times New Roman"/>
          <w:color w:val="000000"/>
          <w:lang w:eastAsia="fr-FR"/>
        </w:rPr>
        <w:t xml:space="preserve"> consortium pour que </w:t>
      </w:r>
      <w:r w:rsidR="00686D9E">
        <w:rPr>
          <w:rFonts w:ascii="Times New Roman" w:eastAsia="Times New Roman" w:hAnsi="Times New Roman" w:cs="Times New Roman"/>
          <w:color w:val="000000"/>
          <w:lang w:eastAsia="fr-FR"/>
        </w:rPr>
        <w:t>les fonds</w:t>
      </w:r>
      <w:r w:rsidR="00686D9E" w:rsidRPr="002C4518">
        <w:rPr>
          <w:rFonts w:ascii="Times New Roman" w:eastAsia="Times New Roman" w:hAnsi="Times New Roman" w:cs="Times New Roman"/>
          <w:color w:val="000000"/>
          <w:lang w:eastAsia="fr-FR"/>
        </w:rPr>
        <w:t xml:space="preserve"> </w:t>
      </w:r>
      <w:r w:rsidR="00954375" w:rsidRPr="002C4518">
        <w:rPr>
          <w:rFonts w:ascii="Times New Roman" w:eastAsia="Times New Roman" w:hAnsi="Times New Roman" w:cs="Times New Roman"/>
          <w:color w:val="000000"/>
          <w:lang w:eastAsia="fr-FR"/>
        </w:rPr>
        <w:t>g</w:t>
      </w:r>
      <w:r w:rsidR="0062142A" w:rsidRPr="002C4518">
        <w:rPr>
          <w:rFonts w:ascii="Times New Roman" w:eastAsia="Times New Roman" w:hAnsi="Times New Roman" w:cs="Times New Roman"/>
          <w:color w:val="000000"/>
          <w:lang w:eastAsia="fr-FR"/>
        </w:rPr>
        <w:t>é</w:t>
      </w:r>
      <w:r w:rsidR="00954375" w:rsidRPr="002C4518">
        <w:rPr>
          <w:rFonts w:ascii="Times New Roman" w:eastAsia="Times New Roman" w:hAnsi="Times New Roman" w:cs="Times New Roman"/>
          <w:color w:val="000000"/>
          <w:lang w:eastAsia="fr-FR"/>
        </w:rPr>
        <w:t>n</w:t>
      </w:r>
      <w:r w:rsidR="0062142A" w:rsidRPr="002C4518">
        <w:rPr>
          <w:rFonts w:ascii="Times New Roman" w:eastAsia="Times New Roman" w:hAnsi="Times New Roman" w:cs="Times New Roman"/>
          <w:color w:val="000000"/>
          <w:lang w:eastAsia="fr-FR"/>
        </w:rPr>
        <w:t>é</w:t>
      </w:r>
      <w:r w:rsidR="00954375" w:rsidRPr="002C4518">
        <w:rPr>
          <w:rFonts w:ascii="Times New Roman" w:eastAsia="Times New Roman" w:hAnsi="Times New Roman" w:cs="Times New Roman"/>
          <w:color w:val="000000"/>
          <w:lang w:eastAsia="fr-FR"/>
        </w:rPr>
        <w:t>ré</w:t>
      </w:r>
      <w:r w:rsidR="00686D9E">
        <w:rPr>
          <w:rFonts w:ascii="Times New Roman" w:eastAsia="Times New Roman" w:hAnsi="Times New Roman" w:cs="Times New Roman"/>
          <w:color w:val="000000"/>
          <w:lang w:eastAsia="fr-FR"/>
        </w:rPr>
        <w:t>s</w:t>
      </w:r>
      <w:r w:rsidR="00954375" w:rsidRPr="002C4518">
        <w:rPr>
          <w:rFonts w:ascii="Times New Roman" w:eastAsia="Times New Roman" w:hAnsi="Times New Roman" w:cs="Times New Roman"/>
          <w:color w:val="000000"/>
          <w:lang w:eastAsia="fr-FR"/>
        </w:rPr>
        <w:t xml:space="preserve"> à partir des programmes de formation </w:t>
      </w:r>
      <w:r w:rsidR="00686D9E">
        <w:rPr>
          <w:rFonts w:ascii="Times New Roman" w:eastAsia="Times New Roman" w:hAnsi="Times New Roman" w:cs="Times New Roman"/>
          <w:color w:val="000000"/>
          <w:lang w:eastAsia="fr-FR"/>
        </w:rPr>
        <w:t xml:space="preserve">de </w:t>
      </w:r>
      <w:r w:rsidR="00954375" w:rsidRPr="002C4518">
        <w:rPr>
          <w:rFonts w:ascii="Times New Roman" w:eastAsia="Times New Roman" w:hAnsi="Times New Roman" w:cs="Times New Roman"/>
          <w:color w:val="000000"/>
          <w:lang w:eastAsia="fr-FR"/>
        </w:rPr>
        <w:t xml:space="preserve">courte </w:t>
      </w:r>
      <w:r w:rsidR="00686D9E">
        <w:rPr>
          <w:rFonts w:ascii="Times New Roman" w:eastAsia="Times New Roman" w:hAnsi="Times New Roman" w:cs="Times New Roman"/>
          <w:color w:val="000000"/>
          <w:lang w:eastAsia="fr-FR"/>
        </w:rPr>
        <w:t xml:space="preserve">durée </w:t>
      </w:r>
      <w:r w:rsidRPr="002C4518">
        <w:rPr>
          <w:rFonts w:ascii="Times New Roman" w:eastAsia="Times New Roman" w:hAnsi="Times New Roman" w:cs="Times New Roman"/>
          <w:color w:val="000000"/>
          <w:lang w:eastAsia="fr-FR"/>
        </w:rPr>
        <w:t>puisse</w:t>
      </w:r>
      <w:r w:rsidR="003702D5">
        <w:rPr>
          <w:rFonts w:ascii="Times New Roman" w:eastAsia="Times New Roman" w:hAnsi="Times New Roman" w:cs="Times New Roman"/>
          <w:color w:val="000000"/>
          <w:lang w:eastAsia="fr-FR"/>
        </w:rPr>
        <w:t>nt</w:t>
      </w:r>
      <w:r w:rsidRPr="002C4518">
        <w:rPr>
          <w:rFonts w:ascii="Times New Roman" w:eastAsia="Times New Roman" w:hAnsi="Times New Roman" w:cs="Times New Roman"/>
          <w:color w:val="000000"/>
          <w:lang w:eastAsia="fr-FR"/>
        </w:rPr>
        <w:t xml:space="preserve"> </w:t>
      </w:r>
      <w:r w:rsidR="00954375" w:rsidRPr="002C4518">
        <w:rPr>
          <w:rFonts w:ascii="Times New Roman" w:eastAsia="Times New Roman" w:hAnsi="Times New Roman" w:cs="Times New Roman"/>
          <w:color w:val="000000"/>
          <w:lang w:eastAsia="fr-FR"/>
        </w:rPr>
        <w:t xml:space="preserve">transiter par le </w:t>
      </w:r>
      <w:r w:rsidR="005B4DE7">
        <w:rPr>
          <w:rFonts w:ascii="Times New Roman" w:eastAsia="Times New Roman" w:hAnsi="Times New Roman" w:cs="Times New Roman"/>
          <w:color w:val="000000"/>
          <w:lang w:eastAsia="fr-FR"/>
        </w:rPr>
        <w:t xml:space="preserve">compte du </w:t>
      </w:r>
      <w:r w:rsidR="00954375" w:rsidRPr="002C4518">
        <w:rPr>
          <w:rFonts w:ascii="Times New Roman" w:eastAsia="Times New Roman" w:hAnsi="Times New Roman" w:cs="Times New Roman"/>
          <w:color w:val="000000"/>
          <w:lang w:eastAsia="fr-FR"/>
        </w:rPr>
        <w:t>CEA</w:t>
      </w:r>
      <w:r w:rsidR="005B4DE7">
        <w:rPr>
          <w:rFonts w:ascii="Times New Roman" w:eastAsia="Times New Roman" w:hAnsi="Times New Roman" w:cs="Times New Roman"/>
          <w:color w:val="000000"/>
          <w:lang w:eastAsia="fr-FR"/>
        </w:rPr>
        <w:t>.</w:t>
      </w:r>
    </w:p>
    <w:p w14:paraId="50B69B26" w14:textId="086AF2D9" w:rsidR="00102B80" w:rsidRPr="00BF13A3" w:rsidRDefault="00102B80" w:rsidP="009D11E8">
      <w:pPr>
        <w:spacing w:line="276" w:lineRule="auto"/>
        <w:jc w:val="both"/>
        <w:rPr>
          <w:rFonts w:ascii="Times New Roman" w:eastAsia="Times New Roman" w:hAnsi="Times New Roman" w:cs="Times New Roman"/>
          <w:color w:val="000000"/>
          <w:lang w:eastAsia="fr-FR"/>
        </w:rPr>
      </w:pPr>
    </w:p>
    <w:p w14:paraId="6092DD56" w14:textId="7F7BC984" w:rsidR="006B29D4" w:rsidRPr="00BF13A3" w:rsidRDefault="006B29D4" w:rsidP="009D11E8">
      <w:pPr>
        <w:spacing w:line="276" w:lineRule="auto"/>
        <w:jc w:val="both"/>
        <w:rPr>
          <w:rFonts w:ascii="Times New Roman" w:eastAsia="Times New Roman" w:hAnsi="Times New Roman" w:cs="Times New Roman"/>
          <w:b/>
          <w:bCs/>
          <w:i/>
          <w:iCs/>
          <w:color w:val="000000"/>
          <w:lang w:eastAsia="fr-FR"/>
        </w:rPr>
      </w:pPr>
      <w:r w:rsidRPr="00BF13A3">
        <w:rPr>
          <w:rFonts w:ascii="Times New Roman" w:eastAsia="Times New Roman" w:hAnsi="Times New Roman" w:cs="Times New Roman"/>
          <w:b/>
          <w:bCs/>
          <w:i/>
          <w:iCs/>
          <w:color w:val="000000"/>
          <w:lang w:eastAsia="fr-FR"/>
        </w:rPr>
        <w:t>RLD5.2:</w:t>
      </w:r>
      <w:r w:rsidR="00FB438F">
        <w:rPr>
          <w:rFonts w:ascii="Times New Roman" w:eastAsia="Times New Roman" w:hAnsi="Times New Roman" w:cs="Times New Roman"/>
          <w:b/>
          <w:bCs/>
          <w:i/>
          <w:iCs/>
          <w:color w:val="000000"/>
          <w:lang w:eastAsia="fr-FR"/>
        </w:rPr>
        <w:t xml:space="preserve"> </w:t>
      </w:r>
      <w:r w:rsidRPr="00BF13A3">
        <w:rPr>
          <w:rFonts w:ascii="Times New Roman" w:eastAsia="Times New Roman" w:hAnsi="Times New Roman" w:cs="Times New Roman"/>
          <w:b/>
          <w:bCs/>
          <w:i/>
          <w:iCs/>
          <w:color w:val="000000"/>
          <w:lang w:eastAsia="fr-FR"/>
        </w:rPr>
        <w:t>Nombre d'étudiants ayant effectué un stage d'au moins un mois ou un personnel ayant effectué un stage</w:t>
      </w:r>
    </w:p>
    <w:p w14:paraId="07A0825C" w14:textId="6DDB2CA7" w:rsidR="006B29D4" w:rsidRPr="00BF13A3" w:rsidRDefault="006B29D4" w:rsidP="009D11E8">
      <w:pPr>
        <w:spacing w:line="276" w:lineRule="auto"/>
        <w:jc w:val="both"/>
        <w:rPr>
          <w:rFonts w:ascii="Times New Roman" w:eastAsia="Times New Roman" w:hAnsi="Times New Roman" w:cs="Times New Roman"/>
          <w:color w:val="000000"/>
          <w:lang w:eastAsia="fr-FR"/>
        </w:rPr>
      </w:pPr>
    </w:p>
    <w:p w14:paraId="10011456" w14:textId="63DE3F18" w:rsidR="006B29D4" w:rsidRPr="00BF13A3" w:rsidRDefault="00954375" w:rsidP="009D11E8">
      <w:pPr>
        <w:spacing w:line="276" w:lineRule="auto"/>
        <w:jc w:val="both"/>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Les services de stage des différentes institutions sont mobilisés et un plan d’activité</w:t>
      </w:r>
      <w:r w:rsidR="000A0522" w:rsidRPr="00BF13A3">
        <w:rPr>
          <w:rFonts w:ascii="Times New Roman" w:eastAsia="Times New Roman" w:hAnsi="Times New Roman" w:cs="Times New Roman"/>
          <w:color w:val="000000"/>
          <w:lang w:eastAsia="fr-FR"/>
        </w:rPr>
        <w:t>s</w:t>
      </w:r>
      <w:r w:rsidRPr="00BF13A3">
        <w:rPr>
          <w:rFonts w:ascii="Times New Roman" w:eastAsia="Times New Roman" w:hAnsi="Times New Roman" w:cs="Times New Roman"/>
          <w:color w:val="000000"/>
          <w:lang w:eastAsia="fr-FR"/>
        </w:rPr>
        <w:t xml:space="preserve"> </w:t>
      </w:r>
      <w:r w:rsidR="00AE789F" w:rsidRPr="00BF13A3">
        <w:rPr>
          <w:rFonts w:ascii="Times New Roman" w:eastAsia="Times New Roman" w:hAnsi="Times New Roman" w:cs="Times New Roman"/>
          <w:color w:val="000000"/>
          <w:lang w:eastAsia="fr-FR"/>
        </w:rPr>
        <w:t xml:space="preserve">leur est demandé. Ce plan sera </w:t>
      </w:r>
      <w:r w:rsidRPr="00BF13A3">
        <w:rPr>
          <w:rFonts w:ascii="Times New Roman" w:eastAsia="Times New Roman" w:hAnsi="Times New Roman" w:cs="Times New Roman"/>
          <w:color w:val="000000"/>
          <w:lang w:eastAsia="fr-FR"/>
        </w:rPr>
        <w:t xml:space="preserve">financé par le CEA pour placement des étudiants </w:t>
      </w:r>
      <w:r w:rsidR="00AE789F" w:rsidRPr="00BF13A3">
        <w:rPr>
          <w:rFonts w:ascii="Times New Roman" w:eastAsia="Times New Roman" w:hAnsi="Times New Roman" w:cs="Times New Roman"/>
          <w:color w:val="000000"/>
          <w:lang w:eastAsia="fr-FR"/>
        </w:rPr>
        <w:t>en entreprise.</w:t>
      </w:r>
      <w:r w:rsidRPr="00BF13A3">
        <w:rPr>
          <w:rFonts w:ascii="Times New Roman" w:eastAsia="Times New Roman" w:hAnsi="Times New Roman" w:cs="Times New Roman"/>
          <w:color w:val="000000"/>
          <w:lang w:eastAsia="fr-FR"/>
        </w:rPr>
        <w:t xml:space="preserve"> </w:t>
      </w:r>
      <w:r w:rsidR="00F01B71">
        <w:rPr>
          <w:rFonts w:ascii="Times New Roman" w:eastAsia="Times New Roman" w:hAnsi="Times New Roman" w:cs="Times New Roman"/>
          <w:color w:val="000000"/>
          <w:lang w:eastAsia="fr-FR"/>
        </w:rPr>
        <w:t xml:space="preserve">Beaucoup d’étudiants en Master et PhD </w:t>
      </w:r>
      <w:r w:rsidR="00072D63">
        <w:rPr>
          <w:rFonts w:ascii="Times New Roman" w:eastAsia="Times New Roman" w:hAnsi="Times New Roman" w:cs="Times New Roman"/>
          <w:color w:val="000000"/>
          <w:lang w:eastAsia="fr-FR"/>
        </w:rPr>
        <w:t>préparent</w:t>
      </w:r>
      <w:r w:rsidR="00F01B71">
        <w:rPr>
          <w:rFonts w:ascii="Times New Roman" w:eastAsia="Times New Roman" w:hAnsi="Times New Roman" w:cs="Times New Roman"/>
          <w:color w:val="000000"/>
          <w:lang w:eastAsia="fr-FR"/>
        </w:rPr>
        <w:t xml:space="preserve"> leurs </w:t>
      </w:r>
      <w:r w:rsidR="00072D63">
        <w:rPr>
          <w:rFonts w:ascii="Times New Roman" w:eastAsia="Times New Roman" w:hAnsi="Times New Roman" w:cs="Times New Roman"/>
          <w:color w:val="000000"/>
          <w:lang w:eastAsia="fr-FR"/>
        </w:rPr>
        <w:t xml:space="preserve">mémoires en </w:t>
      </w:r>
      <w:r w:rsidR="00F01B71">
        <w:rPr>
          <w:rFonts w:ascii="Times New Roman" w:eastAsia="Times New Roman" w:hAnsi="Times New Roman" w:cs="Times New Roman"/>
          <w:color w:val="000000"/>
          <w:lang w:eastAsia="fr-FR"/>
        </w:rPr>
        <w:t>stage d</w:t>
      </w:r>
      <w:r w:rsidR="00072D63">
        <w:rPr>
          <w:rFonts w:ascii="Times New Roman" w:eastAsia="Times New Roman" w:hAnsi="Times New Roman" w:cs="Times New Roman"/>
          <w:color w:val="000000"/>
          <w:lang w:eastAsia="fr-FR"/>
        </w:rPr>
        <w:t xml:space="preserve">e recherche dans des institutions publiques ou dans des entreprises familiales (fermes…) non considérés dans les vérifications. Un plaidoyer sera porté à l’AAU et à la </w:t>
      </w:r>
      <w:r w:rsidR="00CF00CF">
        <w:rPr>
          <w:rFonts w:ascii="Times New Roman" w:eastAsia="Times New Roman" w:hAnsi="Times New Roman" w:cs="Times New Roman"/>
          <w:color w:val="000000"/>
          <w:lang w:eastAsia="fr-FR"/>
        </w:rPr>
        <w:t>B</w:t>
      </w:r>
      <w:r w:rsidR="00072D63">
        <w:rPr>
          <w:rFonts w:ascii="Times New Roman" w:eastAsia="Times New Roman" w:hAnsi="Times New Roman" w:cs="Times New Roman"/>
          <w:color w:val="000000"/>
          <w:lang w:eastAsia="fr-FR"/>
        </w:rPr>
        <w:t xml:space="preserve">anque </w:t>
      </w:r>
      <w:r w:rsidR="00CF00CF">
        <w:rPr>
          <w:rFonts w:ascii="Times New Roman" w:eastAsia="Times New Roman" w:hAnsi="Times New Roman" w:cs="Times New Roman"/>
          <w:color w:val="000000"/>
          <w:lang w:eastAsia="fr-FR"/>
        </w:rPr>
        <w:t xml:space="preserve">Mondiale </w:t>
      </w:r>
      <w:r w:rsidR="00072D63">
        <w:rPr>
          <w:rFonts w:ascii="Times New Roman" w:eastAsia="Times New Roman" w:hAnsi="Times New Roman" w:cs="Times New Roman"/>
          <w:color w:val="000000"/>
          <w:lang w:eastAsia="fr-FR"/>
        </w:rPr>
        <w:t>pour tenir compte de ce type de stage.</w:t>
      </w:r>
    </w:p>
    <w:p w14:paraId="4DCF8950" w14:textId="77777777" w:rsidR="00954375" w:rsidRPr="00BF13A3" w:rsidRDefault="00954375" w:rsidP="009D11E8">
      <w:pPr>
        <w:spacing w:line="276" w:lineRule="auto"/>
        <w:jc w:val="both"/>
        <w:rPr>
          <w:rFonts w:ascii="Times New Roman" w:eastAsia="Times New Roman" w:hAnsi="Times New Roman" w:cs="Times New Roman"/>
          <w:color w:val="000000"/>
          <w:lang w:eastAsia="fr-FR"/>
        </w:rPr>
      </w:pPr>
    </w:p>
    <w:p w14:paraId="1FCC9326" w14:textId="32939F7F" w:rsidR="006B29D4" w:rsidRPr="00CF00CF" w:rsidRDefault="006B29D4" w:rsidP="009D11E8">
      <w:pPr>
        <w:spacing w:line="276" w:lineRule="auto"/>
        <w:jc w:val="both"/>
        <w:rPr>
          <w:rFonts w:ascii="Times New Roman" w:eastAsia="Times New Roman" w:hAnsi="Times New Roman" w:cs="Times New Roman"/>
          <w:i/>
          <w:iCs/>
          <w:color w:val="000000"/>
          <w:lang w:eastAsia="fr-FR"/>
        </w:rPr>
      </w:pPr>
      <w:r w:rsidRPr="00CF00CF">
        <w:rPr>
          <w:rFonts w:ascii="Times New Roman" w:eastAsia="Times New Roman" w:hAnsi="Times New Roman" w:cs="Times New Roman"/>
          <w:b/>
          <w:bCs/>
          <w:i/>
          <w:iCs/>
          <w:color w:val="000000"/>
          <w:lang w:eastAsia="fr-FR"/>
        </w:rPr>
        <w:t>RLD5.3:</w:t>
      </w:r>
      <w:r w:rsidRPr="00CF00CF">
        <w:rPr>
          <w:rFonts w:ascii="Times New Roman" w:eastAsia="Times New Roman" w:hAnsi="Times New Roman" w:cs="Times New Roman"/>
          <w:i/>
          <w:iCs/>
          <w:color w:val="000000"/>
          <w:lang w:eastAsia="fr-FR"/>
        </w:rPr>
        <w:t xml:space="preserve"> </w:t>
      </w:r>
      <w:r w:rsidRPr="00CF00CF">
        <w:rPr>
          <w:rFonts w:ascii="Times New Roman" w:eastAsia="Times New Roman" w:hAnsi="Times New Roman" w:cs="Times New Roman"/>
          <w:b/>
          <w:bCs/>
          <w:i/>
          <w:iCs/>
          <w:color w:val="000000"/>
          <w:lang w:eastAsia="fr-FR"/>
        </w:rPr>
        <w:t>Nombre de nouveaux entrepreneurs, innovations, entreprises start-up et programmes de soutien à la commercialisation</w:t>
      </w:r>
    </w:p>
    <w:p w14:paraId="09ECCFA8" w14:textId="77777777" w:rsidR="006B29D4" w:rsidRPr="00BF13A3" w:rsidRDefault="006B29D4" w:rsidP="009D11E8">
      <w:pPr>
        <w:spacing w:line="276" w:lineRule="auto"/>
        <w:jc w:val="both"/>
        <w:rPr>
          <w:rFonts w:ascii="Times New Roman" w:eastAsia="Times New Roman" w:hAnsi="Times New Roman" w:cs="Times New Roman"/>
          <w:color w:val="000000"/>
          <w:lang w:eastAsia="fr-FR"/>
        </w:rPr>
      </w:pPr>
    </w:p>
    <w:p w14:paraId="433FCF5F" w14:textId="5C883E83" w:rsidR="006B29D4" w:rsidRPr="00BF13A3" w:rsidRDefault="008E2F48" w:rsidP="009D11E8">
      <w:pPr>
        <w:spacing w:before="120" w:line="276" w:lineRule="auto"/>
        <w:jc w:val="both"/>
        <w:rPr>
          <w:rFonts w:ascii="Times New Roman" w:hAnsi="Times New Roman" w:cs="Times New Roman"/>
        </w:rPr>
      </w:pPr>
      <w:r>
        <w:rPr>
          <w:rFonts w:ascii="Times New Roman" w:hAnsi="Times New Roman" w:cs="Times New Roman"/>
        </w:rPr>
        <w:lastRenderedPageBreak/>
        <w:t>La réalisation de cet indicateur sera soutenue</w:t>
      </w:r>
      <w:r w:rsidR="00954375" w:rsidRPr="00BF13A3">
        <w:rPr>
          <w:rFonts w:ascii="Times New Roman" w:hAnsi="Times New Roman" w:cs="Times New Roman"/>
        </w:rPr>
        <w:t xml:space="preserve"> </w:t>
      </w:r>
      <w:r>
        <w:rPr>
          <w:rFonts w:ascii="Times New Roman" w:hAnsi="Times New Roman" w:cs="Times New Roman"/>
        </w:rPr>
        <w:t>à travers</w:t>
      </w:r>
      <w:r w:rsidR="00954375" w:rsidRPr="00BF13A3">
        <w:rPr>
          <w:rFonts w:ascii="Times New Roman" w:hAnsi="Times New Roman" w:cs="Times New Roman"/>
        </w:rPr>
        <w:t xml:space="preserve"> à travers les </w:t>
      </w:r>
      <w:r>
        <w:rPr>
          <w:rFonts w:ascii="Times New Roman" w:hAnsi="Times New Roman" w:cs="Times New Roman"/>
        </w:rPr>
        <w:t>gains obtenus</w:t>
      </w:r>
      <w:r w:rsidR="00954375" w:rsidRPr="00BF13A3">
        <w:rPr>
          <w:rFonts w:ascii="Times New Roman" w:hAnsi="Times New Roman" w:cs="Times New Roman"/>
        </w:rPr>
        <w:t xml:space="preserve"> des autres </w:t>
      </w:r>
      <w:r>
        <w:rPr>
          <w:rFonts w:ascii="Times New Roman" w:hAnsi="Times New Roman" w:cs="Times New Roman"/>
        </w:rPr>
        <w:t>des autres ILD</w:t>
      </w:r>
      <w:r w:rsidR="00954375" w:rsidRPr="00BF13A3">
        <w:rPr>
          <w:rFonts w:ascii="Times New Roman" w:hAnsi="Times New Roman" w:cs="Times New Roman"/>
        </w:rPr>
        <w:t xml:space="preserve"> puisque le financement </w:t>
      </w:r>
      <w:r w:rsidR="00AE3EE6" w:rsidRPr="00BF13A3">
        <w:rPr>
          <w:rFonts w:ascii="Times New Roman" w:hAnsi="Times New Roman" w:cs="Times New Roman"/>
        </w:rPr>
        <w:t>prévu</w:t>
      </w:r>
      <w:r w:rsidR="00954375" w:rsidRPr="00BF13A3">
        <w:rPr>
          <w:rFonts w:ascii="Times New Roman" w:hAnsi="Times New Roman" w:cs="Times New Roman"/>
        </w:rPr>
        <w:t xml:space="preserve"> est mobilisé pour le </w:t>
      </w:r>
      <w:r w:rsidR="00AE3EE6" w:rsidRPr="00BF13A3">
        <w:rPr>
          <w:rFonts w:ascii="Times New Roman" w:hAnsi="Times New Roman" w:cs="Times New Roman"/>
        </w:rPr>
        <w:t>bâtiment</w:t>
      </w:r>
      <w:r w:rsidR="00954375" w:rsidRPr="00BF13A3">
        <w:rPr>
          <w:rFonts w:ascii="Times New Roman" w:hAnsi="Times New Roman" w:cs="Times New Roman"/>
        </w:rPr>
        <w:t xml:space="preserve"> à l’UCAD.</w:t>
      </w:r>
    </w:p>
    <w:p w14:paraId="2C5AE1AB" w14:textId="1935EF66" w:rsidR="00F01B71" w:rsidRPr="00BF13A3" w:rsidRDefault="004A28A5" w:rsidP="009D11E8">
      <w:pPr>
        <w:spacing w:before="120" w:line="276" w:lineRule="auto"/>
        <w:jc w:val="both"/>
        <w:rPr>
          <w:rFonts w:ascii="Times New Roman" w:eastAsia="Times New Roman" w:hAnsi="Times New Roman" w:cs="Times New Roman"/>
          <w:color w:val="222222"/>
          <w:lang w:eastAsia="fr-FR"/>
        </w:rPr>
      </w:pPr>
      <w:r w:rsidRPr="00BF13A3">
        <w:rPr>
          <w:rFonts w:ascii="Times New Roman" w:hAnsi="Times New Roman" w:cs="Times New Roman"/>
        </w:rPr>
        <w:t xml:space="preserve">Les activités </w:t>
      </w:r>
      <w:r w:rsidR="000A0522" w:rsidRPr="00BF13A3">
        <w:rPr>
          <w:rFonts w:ascii="Times New Roman" w:hAnsi="Times New Roman" w:cs="Times New Roman"/>
        </w:rPr>
        <w:t xml:space="preserve">se feront </w:t>
      </w:r>
      <w:r w:rsidRPr="00BF13A3">
        <w:rPr>
          <w:rFonts w:ascii="Times New Roman" w:hAnsi="Times New Roman" w:cs="Times New Roman"/>
        </w:rPr>
        <w:t xml:space="preserve">à travers un </w:t>
      </w:r>
      <w:r w:rsidR="000A0522" w:rsidRPr="00BF13A3">
        <w:rPr>
          <w:rFonts w:ascii="Times New Roman" w:hAnsi="Times New Roman" w:cs="Times New Roman"/>
        </w:rPr>
        <w:t>concours</w:t>
      </w:r>
      <w:r w:rsidRPr="00BF13A3">
        <w:rPr>
          <w:rFonts w:ascii="Times New Roman" w:hAnsi="Times New Roman" w:cs="Times New Roman"/>
        </w:rPr>
        <w:t xml:space="preserve"> pour </w:t>
      </w:r>
      <w:r w:rsidR="000A0522" w:rsidRPr="00BF13A3">
        <w:rPr>
          <w:rFonts w:ascii="Times New Roman" w:hAnsi="Times New Roman" w:cs="Times New Roman"/>
        </w:rPr>
        <w:t xml:space="preserve">identification et </w:t>
      </w:r>
      <w:r w:rsidRPr="00BF13A3">
        <w:rPr>
          <w:rFonts w:ascii="Times New Roman" w:hAnsi="Times New Roman" w:cs="Times New Roman"/>
        </w:rPr>
        <w:t xml:space="preserve">financement des structures </w:t>
      </w:r>
      <w:r w:rsidR="00AE3EE6" w:rsidRPr="00BF13A3">
        <w:rPr>
          <w:rFonts w:ascii="Times New Roman" w:hAnsi="Times New Roman" w:cs="Times New Roman"/>
        </w:rPr>
        <w:t>entrepreneuriales</w:t>
      </w:r>
      <w:r w:rsidRPr="00BF13A3">
        <w:rPr>
          <w:rFonts w:ascii="Times New Roman" w:hAnsi="Times New Roman" w:cs="Times New Roman"/>
        </w:rPr>
        <w:t xml:space="preserve"> les plus avancées à appuyer</w:t>
      </w:r>
      <w:r w:rsidR="000A0522" w:rsidRPr="00BF13A3">
        <w:rPr>
          <w:rFonts w:ascii="Times New Roman" w:hAnsi="Times New Roman" w:cs="Times New Roman"/>
        </w:rPr>
        <w:t xml:space="preserve">. Cet appel </w:t>
      </w:r>
      <w:r w:rsidRPr="00BF13A3">
        <w:rPr>
          <w:rFonts w:ascii="Times New Roman" w:hAnsi="Times New Roman" w:cs="Times New Roman"/>
        </w:rPr>
        <w:t>se</w:t>
      </w:r>
      <w:r w:rsidR="000A0522" w:rsidRPr="00BF13A3">
        <w:rPr>
          <w:rFonts w:ascii="Times New Roman" w:hAnsi="Times New Roman" w:cs="Times New Roman"/>
        </w:rPr>
        <w:t>ra lancé avant</w:t>
      </w:r>
      <w:r w:rsidRPr="00BF13A3">
        <w:rPr>
          <w:rFonts w:ascii="Times New Roman" w:hAnsi="Times New Roman" w:cs="Times New Roman"/>
        </w:rPr>
        <w:t xml:space="preserve"> fin mai.</w:t>
      </w:r>
      <w:r w:rsidR="00F01B71">
        <w:rPr>
          <w:rFonts w:ascii="Times New Roman" w:hAnsi="Times New Roman" w:cs="Times New Roman"/>
        </w:rPr>
        <w:t xml:space="preserve"> </w:t>
      </w:r>
      <w:r w:rsidR="00F01B71" w:rsidRPr="00EE6392">
        <w:rPr>
          <w:rFonts w:ascii="Times New Roman" w:hAnsi="Times New Roman" w:cs="Times New Roman"/>
        </w:rPr>
        <w:t xml:space="preserve">Afin de soutenir les initiatives </w:t>
      </w:r>
      <w:r w:rsidR="00686D9E" w:rsidRPr="00EE6392">
        <w:rPr>
          <w:rFonts w:ascii="Times New Roman" w:hAnsi="Times New Roman" w:cs="Times New Roman"/>
        </w:rPr>
        <w:t>entrepren</w:t>
      </w:r>
      <w:r w:rsidR="00686D9E">
        <w:rPr>
          <w:rFonts w:ascii="Times New Roman" w:hAnsi="Times New Roman" w:cs="Times New Roman"/>
        </w:rPr>
        <w:t>eu</w:t>
      </w:r>
      <w:r w:rsidR="00686D9E" w:rsidRPr="00EE6392">
        <w:rPr>
          <w:rFonts w:ascii="Times New Roman" w:hAnsi="Times New Roman" w:cs="Times New Roman"/>
        </w:rPr>
        <w:t xml:space="preserve">riales </w:t>
      </w:r>
      <w:r w:rsidR="00F01B71" w:rsidRPr="00EE6392">
        <w:rPr>
          <w:rFonts w:ascii="Times New Roman" w:hAnsi="Times New Roman" w:cs="Times New Roman"/>
        </w:rPr>
        <w:t>et assurer le lien université entreprise ; le CEA AGRISAN va soutenir l’organisation du Salon du polytechnicien</w:t>
      </w:r>
      <w:r w:rsidR="00F01B71">
        <w:rPr>
          <w:rFonts w:ascii="Times New Roman" w:hAnsi="Times New Roman" w:cs="Times New Roman"/>
        </w:rPr>
        <w:t xml:space="preserve"> </w:t>
      </w:r>
      <w:r w:rsidR="00F01B71" w:rsidRPr="00EE6392">
        <w:rPr>
          <w:rFonts w:ascii="Times New Roman" w:hAnsi="Times New Roman" w:cs="Times New Roman"/>
        </w:rPr>
        <w:t xml:space="preserve">prévu </w:t>
      </w:r>
      <w:r w:rsidR="00686D9E">
        <w:rPr>
          <w:rFonts w:ascii="Times New Roman" w:hAnsi="Times New Roman" w:cs="Times New Roman"/>
        </w:rPr>
        <w:t xml:space="preserve">à l’UCAD </w:t>
      </w:r>
      <w:r w:rsidR="00F01B71">
        <w:rPr>
          <w:rFonts w:ascii="Times New Roman" w:hAnsi="Times New Roman" w:cs="Times New Roman"/>
        </w:rPr>
        <w:t xml:space="preserve">du 27 au 28 </w:t>
      </w:r>
      <w:r w:rsidR="00F01B71" w:rsidRPr="00EE6392">
        <w:rPr>
          <w:rFonts w:ascii="Times New Roman" w:hAnsi="Times New Roman" w:cs="Times New Roman"/>
        </w:rPr>
        <w:t>mai 2022.</w:t>
      </w:r>
    </w:p>
    <w:p w14:paraId="0F42F0F9" w14:textId="5505E950" w:rsidR="0062142A" w:rsidRPr="00BF13A3" w:rsidRDefault="0062142A" w:rsidP="009D11E8">
      <w:pPr>
        <w:spacing w:line="276" w:lineRule="auto"/>
        <w:rPr>
          <w:rFonts w:ascii="Times New Roman" w:hAnsi="Times New Roman" w:cs="Times New Roman"/>
        </w:rPr>
      </w:pPr>
    </w:p>
    <w:p w14:paraId="469DF477" w14:textId="77777777" w:rsidR="0062142A" w:rsidRPr="00BF13A3" w:rsidRDefault="0062142A" w:rsidP="009D11E8">
      <w:pPr>
        <w:spacing w:line="276" w:lineRule="auto"/>
        <w:rPr>
          <w:rFonts w:ascii="Times New Roman" w:eastAsia="Times New Roman" w:hAnsi="Times New Roman" w:cs="Times New Roman"/>
          <w:color w:val="000000"/>
          <w:lang w:eastAsia="fr-FR"/>
        </w:rPr>
      </w:pPr>
      <w:r w:rsidRPr="00BF13A3">
        <w:rPr>
          <w:rFonts w:ascii="Times New Roman" w:eastAsia="Times New Roman" w:hAnsi="Times New Roman" w:cs="Times New Roman"/>
          <w:b/>
          <w:bCs/>
          <w:i/>
          <w:iCs/>
          <w:color w:val="000000"/>
          <w:lang w:eastAsia="fr-FR"/>
        </w:rPr>
        <w:t>RLD6.2: Unité d’audit opérationnel</w:t>
      </w:r>
    </w:p>
    <w:p w14:paraId="5ED495C0" w14:textId="5EF11379" w:rsidR="0062142A" w:rsidRPr="000B281F" w:rsidRDefault="0062142A" w:rsidP="009D11E8">
      <w:pPr>
        <w:spacing w:line="276" w:lineRule="auto"/>
        <w:jc w:val="both"/>
        <w:rPr>
          <w:rFonts w:ascii="Times New Roman" w:eastAsia="Times New Roman" w:hAnsi="Times New Roman" w:cs="Times New Roman"/>
          <w:color w:val="000000"/>
          <w:lang w:eastAsia="fr-FR"/>
        </w:rPr>
      </w:pPr>
      <w:r w:rsidRPr="00BF13A3">
        <w:rPr>
          <w:rFonts w:ascii="Times New Roman" w:eastAsia="Times New Roman" w:hAnsi="Times New Roman" w:cs="Times New Roman"/>
          <w:color w:val="000000"/>
          <w:lang w:eastAsia="fr-FR"/>
        </w:rPr>
        <w:t>L’UCAD est doté d’un comité d’audit interne composé de haute personnalité de l’institution, il est également doté d’une cellule d’audit dirigée par un Professeur spécialisé en la matière. (voir arrêtés de création). En 2021, le CEA AGRISAN, à l’instar de tous les trois centres de l’UCAD a fait l’objet d’un audit interne. Les conclusions du rapports avaient été soumises pour signature chez le Recteur et venons d’en disposer au mois d’avril 2022 (voir copie). Sous ce constat, le Recteur a instruit de mener un audit plus récent afin de corriger le gap. Cette nouvelle mission d’audit aura lieu au courant de ce mois de mai 2022.</w:t>
      </w:r>
    </w:p>
    <w:p w14:paraId="179C4E67" w14:textId="4E278D08" w:rsidR="00A97426" w:rsidRPr="00BF13A3" w:rsidRDefault="00A97426" w:rsidP="009D11E8">
      <w:pPr>
        <w:spacing w:line="276" w:lineRule="auto"/>
        <w:rPr>
          <w:rFonts w:ascii="Times New Roman" w:hAnsi="Times New Roman" w:cs="Times New Roman"/>
        </w:rPr>
      </w:pPr>
    </w:p>
    <w:p w14:paraId="5E5A5A33" w14:textId="5CBAE840" w:rsidR="00F739F6" w:rsidRPr="00BF13A3" w:rsidRDefault="00F739F6" w:rsidP="009D11E8">
      <w:pPr>
        <w:spacing w:line="276" w:lineRule="auto"/>
        <w:rPr>
          <w:rFonts w:ascii="Times New Roman" w:hAnsi="Times New Roman" w:cs="Times New Roman"/>
        </w:rPr>
      </w:pPr>
      <w:r w:rsidRPr="00BF13A3">
        <w:rPr>
          <w:rFonts w:ascii="Times New Roman" w:eastAsia="Times New Roman" w:hAnsi="Times New Roman" w:cs="Times New Roman"/>
          <w:b/>
          <w:bCs/>
          <w:i/>
          <w:iCs/>
          <w:color w:val="000000"/>
          <w:lang w:eastAsia="fr-FR"/>
        </w:rPr>
        <w:t>RLD</w:t>
      </w:r>
      <w:r w:rsidR="00E95481" w:rsidRPr="00BF13A3">
        <w:rPr>
          <w:rFonts w:ascii="Times New Roman" w:eastAsia="Times New Roman" w:hAnsi="Times New Roman" w:cs="Times New Roman"/>
          <w:b/>
          <w:bCs/>
          <w:i/>
          <w:iCs/>
          <w:color w:val="000000"/>
          <w:lang w:eastAsia="fr-FR"/>
        </w:rPr>
        <w:t>7</w:t>
      </w:r>
      <w:r w:rsidRPr="00BF13A3">
        <w:rPr>
          <w:rFonts w:ascii="Times New Roman" w:eastAsia="Times New Roman" w:hAnsi="Times New Roman" w:cs="Times New Roman"/>
          <w:b/>
          <w:bCs/>
          <w:i/>
          <w:iCs/>
          <w:color w:val="000000"/>
          <w:lang w:eastAsia="fr-FR"/>
        </w:rPr>
        <w:t>:</w:t>
      </w:r>
      <w:r w:rsidR="00E95481" w:rsidRPr="00BF13A3">
        <w:rPr>
          <w:rFonts w:ascii="Times New Roman" w:eastAsia="Times New Roman" w:hAnsi="Times New Roman" w:cs="Times New Roman"/>
          <w:b/>
          <w:bCs/>
          <w:i/>
          <w:iCs/>
          <w:color w:val="000000"/>
          <w:lang w:eastAsia="fr-FR"/>
        </w:rPr>
        <w:t xml:space="preserve"> Impact institutionnelle</w:t>
      </w:r>
    </w:p>
    <w:p w14:paraId="60C8E075" w14:textId="452DCD22" w:rsidR="00A7701E" w:rsidRPr="00D83A8C" w:rsidRDefault="00F739F6" w:rsidP="009D11E8">
      <w:pPr>
        <w:spacing w:before="120" w:line="276" w:lineRule="auto"/>
        <w:ind w:left="-5"/>
        <w:jc w:val="both"/>
        <w:rPr>
          <w:rFonts w:ascii="Times New Roman" w:eastAsia="Times New Roman" w:hAnsi="Times New Roman" w:cs="Times New Roman"/>
          <w:lang w:eastAsia="fr-FR"/>
        </w:rPr>
      </w:pPr>
      <w:r w:rsidRPr="00BF13A3">
        <w:rPr>
          <w:rFonts w:ascii="Times New Roman" w:hAnsi="Times New Roman" w:cs="Times New Roman"/>
        </w:rPr>
        <w:t xml:space="preserve">L’IDD 7 comprend plusieurs éléments différents axés sur l'impact institutionnel. </w:t>
      </w:r>
      <w:r w:rsidR="009855DC" w:rsidRPr="00BF13A3">
        <w:rPr>
          <w:rFonts w:ascii="Times New Roman" w:eastAsia="Times New Roman" w:hAnsi="Times New Roman" w:cs="Times New Roman"/>
          <w:color w:val="000000"/>
          <w:lang w:eastAsia="fr-FR"/>
        </w:rPr>
        <w:t>La</w:t>
      </w:r>
      <w:r w:rsidR="004665EB" w:rsidRPr="00BF13A3">
        <w:rPr>
          <w:rFonts w:ascii="Times New Roman" w:eastAsia="Times New Roman" w:hAnsi="Times New Roman" w:cs="Times New Roman"/>
          <w:color w:val="000000"/>
          <w:lang w:eastAsia="fr-FR"/>
        </w:rPr>
        <w:t xml:space="preserve"> réflexion </w:t>
      </w:r>
      <w:r w:rsidR="009855DC" w:rsidRPr="00BF13A3">
        <w:rPr>
          <w:rFonts w:ascii="Times New Roman" w:eastAsia="Times New Roman" w:hAnsi="Times New Roman" w:cs="Times New Roman"/>
          <w:color w:val="000000"/>
          <w:lang w:eastAsia="fr-FR"/>
        </w:rPr>
        <w:t xml:space="preserve">menée </w:t>
      </w:r>
      <w:r w:rsidR="004665EB" w:rsidRPr="00BF13A3">
        <w:rPr>
          <w:rFonts w:ascii="Times New Roman" w:eastAsia="Times New Roman" w:hAnsi="Times New Roman" w:cs="Times New Roman"/>
          <w:color w:val="000000"/>
          <w:lang w:eastAsia="fr-FR"/>
        </w:rPr>
        <w:t>avec l’ensemble des coordonnateurs de CEA</w:t>
      </w:r>
      <w:r w:rsidR="00BE13B9">
        <w:rPr>
          <w:rFonts w:ascii="Times New Roman" w:eastAsia="Times New Roman" w:hAnsi="Times New Roman" w:cs="Times New Roman"/>
          <w:color w:val="000000"/>
          <w:lang w:eastAsia="fr-FR"/>
        </w:rPr>
        <w:t xml:space="preserve"> </w:t>
      </w:r>
      <w:r w:rsidR="004665EB" w:rsidRPr="00BF13A3">
        <w:rPr>
          <w:rFonts w:ascii="Times New Roman" w:eastAsia="Times New Roman" w:hAnsi="Times New Roman" w:cs="Times New Roman"/>
          <w:color w:val="000000"/>
          <w:lang w:eastAsia="fr-FR"/>
        </w:rPr>
        <w:t>et avec les directions centrales de l’UCAD</w:t>
      </w:r>
      <w:r w:rsidR="009855DC" w:rsidRPr="00BF13A3">
        <w:rPr>
          <w:rFonts w:ascii="Times New Roman" w:eastAsia="Times New Roman" w:hAnsi="Times New Roman" w:cs="Times New Roman"/>
          <w:color w:val="000000"/>
          <w:lang w:eastAsia="fr-FR"/>
        </w:rPr>
        <w:t xml:space="preserve"> a donné </w:t>
      </w:r>
      <w:r w:rsidR="004665EB" w:rsidRPr="00BF13A3">
        <w:rPr>
          <w:rFonts w:ascii="Times New Roman" w:eastAsia="Times New Roman" w:hAnsi="Times New Roman" w:cs="Times New Roman"/>
          <w:color w:val="000000"/>
          <w:lang w:eastAsia="fr-FR"/>
        </w:rPr>
        <w:t xml:space="preserve">l’idée d’utiliser les fonds dédiés à l’impact institutionnel pour construire un immeuble </w:t>
      </w:r>
      <w:r w:rsidR="00A7701E">
        <w:rPr>
          <w:rFonts w:ascii="Times New Roman" w:eastAsia="Times New Roman" w:hAnsi="Times New Roman" w:cs="Times New Roman"/>
          <w:color w:val="000000"/>
          <w:lang w:eastAsia="fr-FR"/>
        </w:rPr>
        <w:t>qui abritera</w:t>
      </w:r>
      <w:r w:rsidR="004665EB" w:rsidRPr="00BF13A3">
        <w:rPr>
          <w:rFonts w:ascii="Times New Roman" w:eastAsia="Times New Roman" w:hAnsi="Times New Roman" w:cs="Times New Roman"/>
          <w:color w:val="000000"/>
          <w:lang w:eastAsia="fr-FR"/>
        </w:rPr>
        <w:t xml:space="preserve"> les Centres d’Excellence, trois directions centrales, des amphithéâtres et salles de conférences. Ce bâtiment multifonctionnel permettra à l’UCAD de rattraper un gap concernant les infrastructures (bureaux, amphithéâtre…). Il servir</w:t>
      </w:r>
      <w:r w:rsidR="00A7701E">
        <w:rPr>
          <w:rFonts w:ascii="Times New Roman" w:eastAsia="Times New Roman" w:hAnsi="Times New Roman" w:cs="Times New Roman"/>
          <w:color w:val="000000"/>
          <w:lang w:eastAsia="fr-FR"/>
        </w:rPr>
        <w:t>a</w:t>
      </w:r>
      <w:r w:rsidR="004665EB" w:rsidRPr="00BF13A3">
        <w:rPr>
          <w:rFonts w:ascii="Times New Roman" w:eastAsia="Times New Roman" w:hAnsi="Times New Roman" w:cs="Times New Roman"/>
          <w:color w:val="000000"/>
          <w:lang w:eastAsia="fr-FR"/>
        </w:rPr>
        <w:t xml:space="preserve"> de plateforme mutualisée qui permettra aux </w:t>
      </w:r>
      <w:proofErr w:type="spellStart"/>
      <w:r w:rsidR="004665EB" w:rsidRPr="00BF13A3">
        <w:rPr>
          <w:rFonts w:ascii="Times New Roman" w:eastAsia="Times New Roman" w:hAnsi="Times New Roman" w:cs="Times New Roman"/>
          <w:color w:val="000000"/>
          <w:lang w:eastAsia="fr-FR"/>
        </w:rPr>
        <w:t>CEAs</w:t>
      </w:r>
      <w:proofErr w:type="spellEnd"/>
      <w:r w:rsidR="004665EB" w:rsidRPr="00BF13A3">
        <w:rPr>
          <w:rFonts w:ascii="Times New Roman" w:eastAsia="Times New Roman" w:hAnsi="Times New Roman" w:cs="Times New Roman"/>
          <w:color w:val="000000"/>
          <w:lang w:eastAsia="fr-FR"/>
        </w:rPr>
        <w:t xml:space="preserve"> d’optimiser leurs ressources</w:t>
      </w:r>
      <w:r w:rsidR="00A33868">
        <w:rPr>
          <w:rFonts w:ascii="Times New Roman" w:eastAsia="Times New Roman" w:hAnsi="Times New Roman" w:cs="Times New Roman"/>
          <w:color w:val="000000"/>
          <w:lang w:eastAsia="fr-FR"/>
        </w:rPr>
        <w:t xml:space="preserve">, </w:t>
      </w:r>
      <w:r w:rsidR="004665EB" w:rsidRPr="00BF13A3">
        <w:rPr>
          <w:rFonts w:ascii="Times New Roman" w:eastAsia="Times New Roman" w:hAnsi="Times New Roman" w:cs="Times New Roman"/>
          <w:color w:val="000000"/>
          <w:lang w:eastAsia="fr-FR"/>
        </w:rPr>
        <w:t xml:space="preserve">de mieux travailler ensemble et améliorer leur interaction avec la communauté. </w:t>
      </w:r>
      <w:r w:rsidR="00CE4CF0">
        <w:rPr>
          <w:rFonts w:ascii="Times New Roman" w:eastAsia="Times New Roman" w:hAnsi="Times New Roman" w:cs="Times New Roman"/>
          <w:color w:val="000000"/>
          <w:lang w:eastAsia="fr-FR"/>
        </w:rPr>
        <w:t>Pour assurer une fluidité de l’information et accélérer les processus de mise en œuvre, le Recteur a nommé un point focal du DLI 7 (impact institutionnel)</w:t>
      </w:r>
      <w:r w:rsidR="00D83A8C">
        <w:rPr>
          <w:rFonts w:ascii="Times New Roman" w:eastAsia="Times New Roman" w:hAnsi="Times New Roman" w:cs="Times New Roman"/>
          <w:color w:val="000000"/>
          <w:lang w:eastAsia="fr-FR"/>
        </w:rPr>
        <w:t xml:space="preserve">. </w:t>
      </w:r>
      <w:r w:rsidR="00A7701E">
        <w:rPr>
          <w:rFonts w:ascii="Times New Roman" w:eastAsia="Times New Roman" w:hAnsi="Times New Roman" w:cs="Times New Roman"/>
          <w:color w:val="000000"/>
          <w:lang w:eastAsia="fr-FR"/>
        </w:rPr>
        <w:t xml:space="preserve">Il a signé </w:t>
      </w:r>
      <w:r w:rsidR="00A7701E">
        <w:rPr>
          <w:rFonts w:ascii="Times" w:eastAsia="Times New Roman" w:hAnsi="Times" w:cs="Times New Roman"/>
          <w:color w:val="000000"/>
          <w:sz w:val="27"/>
          <w:szCs w:val="27"/>
          <w:lang w:eastAsia="fr-FR"/>
        </w:rPr>
        <w:t xml:space="preserve">un </w:t>
      </w:r>
      <w:r w:rsidR="00A7701E" w:rsidRPr="00D83A8C">
        <w:rPr>
          <w:rFonts w:ascii="Times" w:eastAsia="Times New Roman" w:hAnsi="Times" w:cs="Times New Roman"/>
          <w:color w:val="000000"/>
          <w:sz w:val="27"/>
          <w:szCs w:val="27"/>
          <w:lang w:eastAsia="fr-FR"/>
        </w:rPr>
        <w:t>arrêté d’affectation d</w:t>
      </w:r>
      <w:r w:rsidR="00A7701E">
        <w:rPr>
          <w:rFonts w:ascii="Times" w:eastAsia="Times New Roman" w:hAnsi="Times" w:cs="Times New Roman"/>
          <w:color w:val="000000"/>
          <w:sz w:val="27"/>
          <w:szCs w:val="27"/>
          <w:lang w:eastAsia="fr-FR"/>
        </w:rPr>
        <w:t>’un terrain de</w:t>
      </w:r>
      <w:r w:rsidR="00A7701E" w:rsidRPr="00D83A8C">
        <w:rPr>
          <w:rFonts w:ascii="Times" w:eastAsia="Times New Roman" w:hAnsi="Times" w:cs="Times New Roman"/>
          <w:color w:val="000000"/>
          <w:sz w:val="27"/>
          <w:szCs w:val="27"/>
          <w:lang w:eastAsia="fr-FR"/>
        </w:rPr>
        <w:t xml:space="preserve"> </w:t>
      </w:r>
      <w:r w:rsidR="00A7701E" w:rsidRPr="00BF13A3">
        <w:rPr>
          <w:rFonts w:ascii="Times New Roman" w:hAnsi="Times New Roman" w:cs="Times New Roman"/>
        </w:rPr>
        <w:t xml:space="preserve">2000 m2 </w:t>
      </w:r>
      <w:r w:rsidR="00A7701E" w:rsidRPr="00D83A8C">
        <w:rPr>
          <w:rFonts w:ascii="Times" w:eastAsia="Times New Roman" w:hAnsi="Times" w:cs="Times New Roman"/>
          <w:color w:val="000000"/>
          <w:sz w:val="27"/>
          <w:szCs w:val="27"/>
          <w:lang w:eastAsia="fr-FR"/>
        </w:rPr>
        <w:t>(Arrêté N° 000229/UCAD/RECT/SG/DGDU du 27 janvier 2022)</w:t>
      </w:r>
      <w:r w:rsidR="00A7701E">
        <w:rPr>
          <w:rFonts w:ascii="Times" w:eastAsia="Times New Roman" w:hAnsi="Times" w:cs="Times New Roman"/>
          <w:color w:val="000000"/>
          <w:sz w:val="27"/>
          <w:szCs w:val="27"/>
          <w:lang w:eastAsia="fr-FR"/>
        </w:rPr>
        <w:t xml:space="preserve">. </w:t>
      </w:r>
    </w:p>
    <w:p w14:paraId="0E19BC4C" w14:textId="09236A38" w:rsidR="004665EB" w:rsidRDefault="00B245E1" w:rsidP="009D11E8">
      <w:pPr>
        <w:spacing w:before="120" w:line="276" w:lineRule="auto"/>
        <w:jc w:val="both"/>
        <w:rPr>
          <w:rFonts w:ascii="Times New Roman" w:hAnsi="Times New Roman" w:cs="Times New Roman"/>
        </w:rPr>
      </w:pPr>
      <w:r w:rsidRPr="00BF13A3">
        <w:rPr>
          <w:rFonts w:ascii="Times New Roman" w:hAnsi="Times New Roman" w:cs="Times New Roman"/>
        </w:rPr>
        <w:t xml:space="preserve">Les plans architecturaux déclinent un immeuble de </w:t>
      </w:r>
      <w:r w:rsidR="0070178C">
        <w:rPr>
          <w:rFonts w:ascii="Times New Roman" w:hAnsi="Times New Roman" w:cs="Times New Roman"/>
        </w:rPr>
        <w:t>5</w:t>
      </w:r>
      <w:r w:rsidR="00355D9D" w:rsidRPr="00BF13A3">
        <w:rPr>
          <w:rFonts w:ascii="Times New Roman" w:hAnsi="Times New Roman" w:cs="Times New Roman"/>
        </w:rPr>
        <w:t xml:space="preserve"> niveaux dans lequel le CEA</w:t>
      </w:r>
      <w:r w:rsidR="00A33868">
        <w:rPr>
          <w:rFonts w:ascii="Times New Roman" w:hAnsi="Times New Roman" w:cs="Times New Roman"/>
        </w:rPr>
        <w:t xml:space="preserve">-AGRISAN </w:t>
      </w:r>
      <w:r w:rsidR="00355D9D" w:rsidRPr="00BF13A3">
        <w:rPr>
          <w:rFonts w:ascii="Times New Roman" w:hAnsi="Times New Roman" w:cs="Times New Roman"/>
        </w:rPr>
        <w:t xml:space="preserve">occupera </w:t>
      </w:r>
      <w:r w:rsidR="00782C5B" w:rsidRPr="00BF13A3">
        <w:rPr>
          <w:rFonts w:ascii="Times New Roman" w:hAnsi="Times New Roman" w:cs="Times New Roman"/>
        </w:rPr>
        <w:t>2x335 m2 répartis en bureaux, salles de réunions ; toilettes</w:t>
      </w:r>
      <w:r w:rsidR="00397C4A" w:rsidRPr="00BF13A3">
        <w:rPr>
          <w:rFonts w:ascii="Times New Roman" w:hAnsi="Times New Roman" w:cs="Times New Roman"/>
        </w:rPr>
        <w:t> ; laboratoire commun</w:t>
      </w:r>
      <w:r w:rsidR="009B6CAF" w:rsidRPr="00BF13A3">
        <w:rPr>
          <w:rFonts w:ascii="Times New Roman" w:hAnsi="Times New Roman" w:cs="Times New Roman"/>
        </w:rPr>
        <w:t>,</w:t>
      </w:r>
      <w:r w:rsidR="00782C5B" w:rsidRPr="00BF13A3">
        <w:rPr>
          <w:rFonts w:ascii="Times New Roman" w:hAnsi="Times New Roman" w:cs="Times New Roman"/>
        </w:rPr>
        <w:t xml:space="preserve"> en plus des </w:t>
      </w:r>
      <w:r w:rsidR="00686D9E" w:rsidRPr="00BF13A3">
        <w:rPr>
          <w:rFonts w:ascii="Times New Roman" w:hAnsi="Times New Roman" w:cs="Times New Roman"/>
        </w:rPr>
        <w:t>amphithéâtres</w:t>
      </w:r>
      <w:r w:rsidR="00782C5B" w:rsidRPr="00BF13A3">
        <w:rPr>
          <w:rFonts w:ascii="Times New Roman" w:hAnsi="Times New Roman" w:cs="Times New Roman"/>
        </w:rPr>
        <w:t xml:space="preserve"> et salles de réunions mutualisés. </w:t>
      </w:r>
      <w:r w:rsidR="00A33868">
        <w:rPr>
          <w:rFonts w:ascii="Times New Roman" w:hAnsi="Times New Roman" w:cs="Times New Roman"/>
        </w:rPr>
        <w:t>Les coûts de construction</w:t>
      </w:r>
      <w:r w:rsidR="00782C5B" w:rsidRPr="00BF13A3">
        <w:rPr>
          <w:rFonts w:ascii="Times New Roman" w:hAnsi="Times New Roman" w:cs="Times New Roman"/>
        </w:rPr>
        <w:t xml:space="preserve"> </w:t>
      </w:r>
      <w:r w:rsidR="00A33868">
        <w:rPr>
          <w:rFonts w:ascii="Times New Roman" w:hAnsi="Times New Roman" w:cs="Times New Roman"/>
        </w:rPr>
        <w:t>d’</w:t>
      </w:r>
      <w:r w:rsidR="00782C5B" w:rsidRPr="00BF13A3">
        <w:rPr>
          <w:rFonts w:ascii="Times New Roman" w:hAnsi="Times New Roman" w:cs="Times New Roman"/>
        </w:rPr>
        <w:t xml:space="preserve">un montant de </w:t>
      </w:r>
      <w:r w:rsidR="000B332B" w:rsidRPr="00BF13A3">
        <w:rPr>
          <w:rFonts w:ascii="Times New Roman" w:hAnsi="Times New Roman" w:cs="Times New Roman"/>
        </w:rPr>
        <w:t>1,6 milliards Frs CFA, verr</w:t>
      </w:r>
      <w:r w:rsidR="0070178C">
        <w:rPr>
          <w:rFonts w:ascii="Times New Roman" w:hAnsi="Times New Roman" w:cs="Times New Roman"/>
        </w:rPr>
        <w:t>ont</w:t>
      </w:r>
      <w:r w:rsidR="000B332B" w:rsidRPr="00BF13A3">
        <w:rPr>
          <w:rFonts w:ascii="Times New Roman" w:hAnsi="Times New Roman" w:cs="Times New Roman"/>
        </w:rPr>
        <w:t xml:space="preserve"> la contribution du CEA AGRISAN à hauteur de 350 millions de Frs CFA. </w:t>
      </w:r>
      <w:r w:rsidR="000B332B" w:rsidRPr="00BF13A3">
        <w:rPr>
          <w:rFonts w:ascii="Times New Roman" w:eastAsia="Times New Roman" w:hAnsi="Times New Roman" w:cs="Times New Roman"/>
          <w:color w:val="000000"/>
          <w:lang w:eastAsia="fr-FR"/>
        </w:rPr>
        <w:t xml:space="preserve">Dans cette perspective, nous atteindront facilement la réalisation du </w:t>
      </w:r>
      <w:r w:rsidR="00397C4A" w:rsidRPr="00BF13A3">
        <w:rPr>
          <w:rFonts w:ascii="Times New Roman" w:eastAsia="Times New Roman" w:hAnsi="Times New Roman" w:cs="Times New Roman"/>
          <w:color w:val="000000"/>
          <w:lang w:eastAsia="fr-FR"/>
        </w:rPr>
        <w:t>DLI 7 à 100%. Un enjeu majeur de ce projet est de bien porter</w:t>
      </w:r>
      <w:r w:rsidR="000B332B" w:rsidRPr="00BF13A3">
        <w:rPr>
          <w:rFonts w:ascii="Times New Roman" w:eastAsia="Times New Roman" w:hAnsi="Times New Roman" w:cs="Times New Roman"/>
          <w:color w:val="000000"/>
          <w:lang w:eastAsia="fr-FR"/>
        </w:rPr>
        <w:t xml:space="preserve"> la visibilité de l’action gouvernementale auprès de la communauté universitaire et de ses bailleurs</w:t>
      </w:r>
      <w:r w:rsidR="000B332B" w:rsidRPr="00BF13A3">
        <w:rPr>
          <w:rFonts w:ascii="Times New Roman" w:hAnsi="Times New Roman" w:cs="Times New Roman"/>
        </w:rPr>
        <w:t>.</w:t>
      </w:r>
    </w:p>
    <w:p w14:paraId="26589670" w14:textId="358CB6B3" w:rsidR="00A33868" w:rsidRDefault="00A33868" w:rsidP="009D11E8">
      <w:pPr>
        <w:spacing w:line="276" w:lineRule="auto"/>
        <w:jc w:val="both"/>
        <w:rPr>
          <w:rFonts w:ascii="Times New Roman" w:hAnsi="Times New Roman" w:cs="Times New Roman"/>
        </w:rPr>
      </w:pPr>
    </w:p>
    <w:p w14:paraId="7249C5EB" w14:textId="133AC0DC" w:rsidR="00905AAA" w:rsidRDefault="00905AAA" w:rsidP="009D11E8">
      <w:pPr>
        <w:spacing w:line="276" w:lineRule="auto"/>
        <w:jc w:val="both"/>
        <w:rPr>
          <w:rFonts w:ascii="Times New Roman" w:hAnsi="Times New Roman" w:cs="Times New Roman"/>
        </w:rPr>
      </w:pPr>
    </w:p>
    <w:p w14:paraId="50056E65" w14:textId="7B68F48D" w:rsidR="00905AAA" w:rsidRDefault="00905AAA" w:rsidP="009D11E8">
      <w:pPr>
        <w:spacing w:line="276" w:lineRule="auto"/>
        <w:jc w:val="both"/>
        <w:rPr>
          <w:rFonts w:ascii="Times New Roman" w:hAnsi="Times New Roman" w:cs="Times New Roman"/>
        </w:rPr>
      </w:pPr>
    </w:p>
    <w:p w14:paraId="047AB997" w14:textId="367DB132" w:rsidR="00905AAA" w:rsidRDefault="00905AAA" w:rsidP="009D11E8">
      <w:pPr>
        <w:spacing w:line="276" w:lineRule="auto"/>
        <w:jc w:val="both"/>
        <w:rPr>
          <w:rFonts w:ascii="Times New Roman" w:hAnsi="Times New Roman" w:cs="Times New Roman"/>
        </w:rPr>
      </w:pPr>
      <w:r>
        <w:rPr>
          <w:b/>
        </w:rPr>
        <w:t xml:space="preserve">SITUATION SUR LES DEPENSES &amp; </w:t>
      </w:r>
      <w:r w:rsidRPr="0066021F">
        <w:rPr>
          <w:b/>
        </w:rPr>
        <w:t>TAUX D’EXECUTION DU PROJET AU 06 MAI 2022</w:t>
      </w:r>
    </w:p>
    <w:tbl>
      <w:tblPr>
        <w:tblW w:w="9634" w:type="dxa"/>
        <w:tblCellMar>
          <w:left w:w="70" w:type="dxa"/>
          <w:right w:w="70" w:type="dxa"/>
        </w:tblCellMar>
        <w:tblLook w:val="04A0" w:firstRow="1" w:lastRow="0" w:firstColumn="1" w:lastColumn="0" w:noHBand="0" w:noVBand="1"/>
      </w:tblPr>
      <w:tblGrid>
        <w:gridCol w:w="3114"/>
        <w:gridCol w:w="2126"/>
        <w:gridCol w:w="2126"/>
        <w:gridCol w:w="2268"/>
      </w:tblGrid>
      <w:tr w:rsidR="00905AAA" w:rsidRPr="005B6A3C" w14:paraId="38BED7D4" w14:textId="77777777" w:rsidTr="00930FE4">
        <w:trPr>
          <w:trHeight w:val="960"/>
        </w:trPr>
        <w:tc>
          <w:tcPr>
            <w:tcW w:w="9634" w:type="dxa"/>
            <w:gridSpan w:val="4"/>
            <w:tcBorders>
              <w:bottom w:val="single" w:sz="4" w:space="0" w:color="auto"/>
            </w:tcBorders>
            <w:shd w:val="clear" w:color="000000" w:fill="FFFFFF"/>
            <w:vAlign w:val="center"/>
          </w:tcPr>
          <w:p w14:paraId="712F2582" w14:textId="37688025" w:rsidR="00905AAA" w:rsidRPr="00905AAA" w:rsidRDefault="00905AAA" w:rsidP="00414383">
            <w:pPr>
              <w:rPr>
                <w:b/>
              </w:rPr>
            </w:pPr>
            <w:r>
              <w:rPr>
                <w:b/>
              </w:rPr>
              <w:lastRenderedPageBreak/>
              <w:t>TABLEAU 2 : Situation sur les d</w:t>
            </w:r>
            <w:r w:rsidR="00E92E61">
              <w:rPr>
                <w:b/>
              </w:rPr>
              <w:t>é</w:t>
            </w:r>
            <w:r>
              <w:rPr>
                <w:b/>
              </w:rPr>
              <w:t xml:space="preserve">penses &amp; </w:t>
            </w:r>
            <w:r w:rsidRPr="0066021F">
              <w:rPr>
                <w:b/>
              </w:rPr>
              <w:t>taux d’</w:t>
            </w:r>
            <w:proofErr w:type="spellStart"/>
            <w:r w:rsidRPr="0066021F">
              <w:rPr>
                <w:b/>
              </w:rPr>
              <w:t>execution</w:t>
            </w:r>
            <w:proofErr w:type="spellEnd"/>
            <w:r w:rsidRPr="0066021F">
              <w:rPr>
                <w:b/>
              </w:rPr>
              <w:t xml:space="preserve"> du projet au 06 mai 2022</w:t>
            </w:r>
          </w:p>
        </w:tc>
      </w:tr>
      <w:tr w:rsidR="00905AAA" w:rsidRPr="005B6A3C" w14:paraId="702DBD17" w14:textId="77777777" w:rsidTr="00930FE4">
        <w:trPr>
          <w:trHeight w:val="960"/>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AA447" w14:textId="77777777" w:rsidR="00905AAA" w:rsidRPr="005B6A3C" w:rsidRDefault="00905AAA" w:rsidP="00414383">
            <w:pPr>
              <w:rPr>
                <w:rFonts w:ascii="Times New Roman" w:eastAsia="Times New Roman" w:hAnsi="Times New Roman" w:cs="Times New Roman"/>
                <w:b/>
                <w:bCs/>
                <w:color w:val="000000"/>
                <w:lang w:val="fr-FR" w:eastAsia="fr-FR"/>
              </w:rPr>
            </w:pPr>
            <w:r w:rsidRPr="005B6A3C">
              <w:rPr>
                <w:rFonts w:ascii="Times New Roman" w:eastAsia="Times New Roman" w:hAnsi="Times New Roman" w:cs="Times New Roman"/>
                <w:b/>
                <w:bCs/>
                <w:color w:val="000000"/>
                <w:lang w:val="fr-FR" w:eastAsia="fr-FR"/>
              </w:rPr>
              <w:t>Désignation</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22CFD79" w14:textId="77777777" w:rsidR="00905AAA" w:rsidRPr="005B6A3C" w:rsidRDefault="00905AAA" w:rsidP="00414383">
            <w:pPr>
              <w:jc w:val="center"/>
              <w:rPr>
                <w:rFonts w:ascii="Times New Roman" w:eastAsia="Times New Roman" w:hAnsi="Times New Roman" w:cs="Times New Roman"/>
                <w:b/>
                <w:bCs/>
                <w:color w:val="000000"/>
                <w:lang w:val="fr-FR" w:eastAsia="fr-FR"/>
              </w:rPr>
            </w:pPr>
            <w:r w:rsidRPr="005B6A3C">
              <w:rPr>
                <w:rFonts w:ascii="Times New Roman" w:eastAsia="Times New Roman" w:hAnsi="Times New Roman" w:cs="Times New Roman"/>
                <w:b/>
                <w:bCs/>
                <w:color w:val="000000"/>
                <w:lang w:val="fr-FR" w:eastAsia="fr-FR"/>
              </w:rPr>
              <w:t>Financement initial en FCFA</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3050850" w14:textId="77777777" w:rsidR="00905AAA" w:rsidRPr="005B6A3C" w:rsidRDefault="00905AAA" w:rsidP="00414383">
            <w:pPr>
              <w:jc w:val="center"/>
              <w:rPr>
                <w:rFonts w:ascii="Times New Roman" w:eastAsia="Times New Roman" w:hAnsi="Times New Roman" w:cs="Times New Roman"/>
                <w:b/>
                <w:bCs/>
                <w:color w:val="000000"/>
                <w:lang w:val="fr-FR" w:eastAsia="fr-FR"/>
              </w:rPr>
            </w:pPr>
            <w:r>
              <w:rPr>
                <w:rFonts w:ascii="Times New Roman" w:eastAsia="Times New Roman" w:hAnsi="Times New Roman" w:cs="Times New Roman"/>
                <w:b/>
                <w:bCs/>
                <w:color w:val="000000"/>
                <w:lang w:val="fr-FR" w:eastAsia="fr-FR"/>
              </w:rPr>
              <w:t>Cumul dépenses du projet au 06/05</w:t>
            </w:r>
            <w:r w:rsidRPr="005B6A3C">
              <w:rPr>
                <w:rFonts w:ascii="Times New Roman" w:eastAsia="Times New Roman" w:hAnsi="Times New Roman" w:cs="Times New Roman"/>
                <w:b/>
                <w:bCs/>
                <w:color w:val="000000"/>
                <w:lang w:val="fr-FR" w:eastAsia="fr-FR"/>
              </w:rPr>
              <w:t>/2022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31CBA8F" w14:textId="77777777" w:rsidR="00905AAA" w:rsidRPr="005B6A3C" w:rsidRDefault="00905AAA" w:rsidP="00414383">
            <w:pPr>
              <w:jc w:val="center"/>
              <w:rPr>
                <w:rFonts w:ascii="Times New Roman" w:eastAsia="Times New Roman" w:hAnsi="Times New Roman" w:cs="Times New Roman"/>
                <w:b/>
                <w:bCs/>
                <w:color w:val="000000"/>
                <w:lang w:val="fr-FR" w:eastAsia="fr-FR"/>
              </w:rPr>
            </w:pPr>
            <w:r w:rsidRPr="005B6A3C">
              <w:rPr>
                <w:rFonts w:ascii="Times New Roman" w:eastAsia="Times New Roman" w:hAnsi="Times New Roman" w:cs="Times New Roman"/>
                <w:b/>
                <w:bCs/>
                <w:color w:val="000000"/>
                <w:lang w:val="fr-FR" w:eastAsia="fr-FR"/>
              </w:rPr>
              <w:t xml:space="preserve">Taux d'exécution global </w:t>
            </w:r>
          </w:p>
        </w:tc>
      </w:tr>
      <w:tr w:rsidR="00905AAA" w:rsidRPr="005B6A3C" w14:paraId="6759240C" w14:textId="77777777" w:rsidTr="00905AAA">
        <w:trPr>
          <w:trHeight w:val="6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25BBFD97" w14:textId="77777777" w:rsidR="00905AAA" w:rsidRPr="005B6A3C" w:rsidRDefault="00905AAA" w:rsidP="00414383">
            <w:pPr>
              <w:rPr>
                <w:rFonts w:ascii="Calibri" w:eastAsia="Times New Roman" w:hAnsi="Calibri" w:cs="Times New Roman"/>
                <w:b/>
                <w:bCs/>
                <w:color w:val="000000"/>
                <w:sz w:val="22"/>
                <w:szCs w:val="22"/>
                <w:lang w:val="fr-FR" w:eastAsia="fr-FR"/>
              </w:rPr>
            </w:pPr>
            <w:r w:rsidRPr="005B6A3C">
              <w:rPr>
                <w:rFonts w:ascii="Calibri" w:eastAsia="Times New Roman" w:hAnsi="Calibri" w:cs="Times New Roman"/>
                <w:b/>
                <w:bCs/>
                <w:color w:val="000000"/>
                <w:sz w:val="22"/>
                <w:szCs w:val="22"/>
                <w:lang w:val="fr-FR" w:eastAsia="fr-FR"/>
              </w:rPr>
              <w:t xml:space="preserve">Plan d’action </w:t>
            </w:r>
            <w:proofErr w:type="gramStart"/>
            <w:r w:rsidRPr="005B6A3C">
              <w:rPr>
                <w:rFonts w:ascii="Calibri" w:eastAsia="Times New Roman" w:hAnsi="Calibri" w:cs="Times New Roman"/>
                <w:b/>
                <w:bCs/>
                <w:color w:val="000000"/>
                <w:sz w:val="22"/>
                <w:szCs w:val="22"/>
                <w:lang w:val="fr-FR" w:eastAsia="fr-FR"/>
              </w:rPr>
              <w:t>1:</w:t>
            </w:r>
            <w:proofErr w:type="gramEnd"/>
            <w:r w:rsidRPr="005B6A3C">
              <w:rPr>
                <w:rFonts w:ascii="Calibri" w:eastAsia="Times New Roman" w:hAnsi="Calibri" w:cs="Times New Roman"/>
                <w:b/>
                <w:bCs/>
                <w:color w:val="000000"/>
                <w:sz w:val="22"/>
                <w:szCs w:val="22"/>
                <w:lang w:val="fr-FR" w:eastAsia="fr-FR"/>
              </w:rPr>
              <w:t xml:space="preserve"> Formation et apprentissage</w:t>
            </w:r>
          </w:p>
        </w:tc>
        <w:tc>
          <w:tcPr>
            <w:tcW w:w="2126" w:type="dxa"/>
            <w:tcBorders>
              <w:top w:val="nil"/>
              <w:left w:val="nil"/>
              <w:bottom w:val="single" w:sz="4" w:space="0" w:color="auto"/>
              <w:right w:val="single" w:sz="4" w:space="0" w:color="auto"/>
            </w:tcBorders>
            <w:shd w:val="clear" w:color="000000" w:fill="FFFFFF"/>
            <w:vAlign w:val="center"/>
            <w:hideMark/>
          </w:tcPr>
          <w:p w14:paraId="37FC426D" w14:textId="77777777" w:rsidR="00905AAA" w:rsidRPr="005B6A3C" w:rsidRDefault="00905AAA" w:rsidP="00414383">
            <w:pPr>
              <w:jc w:val="center"/>
              <w:rPr>
                <w:rFonts w:ascii="Times New Roman" w:eastAsia="Times New Roman" w:hAnsi="Times New Roman" w:cs="Times New Roman"/>
                <w:color w:val="000000"/>
                <w:lang w:val="fr-FR" w:eastAsia="fr-FR"/>
              </w:rPr>
            </w:pPr>
            <w:r w:rsidRPr="005B6A3C">
              <w:rPr>
                <w:rFonts w:ascii="Times New Roman" w:eastAsia="Times New Roman" w:hAnsi="Times New Roman" w:cs="Times New Roman"/>
                <w:color w:val="000000"/>
                <w:lang w:val="fr-FR" w:eastAsia="fr-FR"/>
              </w:rPr>
              <w:t>1 044 479 019</w:t>
            </w:r>
          </w:p>
        </w:tc>
        <w:tc>
          <w:tcPr>
            <w:tcW w:w="2126" w:type="dxa"/>
            <w:tcBorders>
              <w:top w:val="nil"/>
              <w:left w:val="nil"/>
              <w:bottom w:val="single" w:sz="4" w:space="0" w:color="auto"/>
              <w:right w:val="single" w:sz="4" w:space="0" w:color="auto"/>
            </w:tcBorders>
            <w:shd w:val="clear" w:color="000000" w:fill="FFFFFF"/>
            <w:vAlign w:val="center"/>
            <w:hideMark/>
          </w:tcPr>
          <w:p w14:paraId="638D2EC1" w14:textId="77777777" w:rsidR="00905AAA" w:rsidRPr="005B6A3C" w:rsidRDefault="00905AAA" w:rsidP="00414383">
            <w:pPr>
              <w:jc w:val="center"/>
              <w:rPr>
                <w:rFonts w:ascii="Times New Roman" w:eastAsia="Times New Roman" w:hAnsi="Times New Roman" w:cs="Times New Roman"/>
                <w:lang w:val="fr-FR" w:eastAsia="fr-FR"/>
              </w:rPr>
            </w:pPr>
            <w:r w:rsidRPr="005B6A3C">
              <w:rPr>
                <w:rFonts w:ascii="Times New Roman" w:eastAsia="Times New Roman" w:hAnsi="Times New Roman" w:cs="Times New Roman"/>
                <w:lang w:val="fr-FR" w:eastAsia="fr-FR"/>
              </w:rPr>
              <w:t>102 405 640</w:t>
            </w:r>
          </w:p>
        </w:tc>
        <w:tc>
          <w:tcPr>
            <w:tcW w:w="2268" w:type="dxa"/>
            <w:tcBorders>
              <w:top w:val="nil"/>
              <w:left w:val="nil"/>
              <w:bottom w:val="single" w:sz="4" w:space="0" w:color="auto"/>
              <w:right w:val="single" w:sz="4" w:space="0" w:color="auto"/>
            </w:tcBorders>
            <w:shd w:val="clear" w:color="auto" w:fill="auto"/>
            <w:noWrap/>
            <w:vAlign w:val="bottom"/>
            <w:hideMark/>
          </w:tcPr>
          <w:p w14:paraId="3A47962E" w14:textId="77777777" w:rsidR="00905AAA" w:rsidRPr="005B6A3C" w:rsidRDefault="00905AAA" w:rsidP="00414383">
            <w:pPr>
              <w:jc w:val="center"/>
              <w:rPr>
                <w:rFonts w:ascii="Calibri" w:eastAsia="Times New Roman" w:hAnsi="Calibri" w:cs="Times New Roman"/>
                <w:color w:val="000000"/>
                <w:sz w:val="22"/>
                <w:szCs w:val="22"/>
                <w:lang w:val="fr-FR" w:eastAsia="fr-FR"/>
              </w:rPr>
            </w:pPr>
            <w:r w:rsidRPr="005B6A3C">
              <w:rPr>
                <w:rFonts w:ascii="Calibri" w:eastAsia="Times New Roman" w:hAnsi="Calibri" w:cs="Times New Roman"/>
                <w:color w:val="000000"/>
                <w:sz w:val="22"/>
                <w:szCs w:val="22"/>
                <w:lang w:val="fr-FR" w:eastAsia="fr-FR"/>
              </w:rPr>
              <w:t>9,80%</w:t>
            </w:r>
          </w:p>
        </w:tc>
      </w:tr>
      <w:tr w:rsidR="00905AAA" w:rsidRPr="005B6A3C" w14:paraId="0DA9F902" w14:textId="77777777" w:rsidTr="00905AAA">
        <w:trPr>
          <w:trHeight w:val="32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61C8C92F" w14:textId="77777777" w:rsidR="00905AAA" w:rsidRPr="005B6A3C" w:rsidRDefault="00905AAA" w:rsidP="00414383">
            <w:pPr>
              <w:rPr>
                <w:rFonts w:ascii="Calibri" w:eastAsia="Times New Roman" w:hAnsi="Calibri" w:cs="Times New Roman"/>
                <w:b/>
                <w:bCs/>
                <w:color w:val="000000"/>
                <w:sz w:val="22"/>
                <w:szCs w:val="22"/>
                <w:lang w:val="fr-FR" w:eastAsia="fr-FR"/>
              </w:rPr>
            </w:pPr>
            <w:r w:rsidRPr="005B6A3C">
              <w:rPr>
                <w:rFonts w:ascii="Calibri" w:eastAsia="Times New Roman" w:hAnsi="Calibri" w:cs="Times New Roman"/>
                <w:b/>
                <w:bCs/>
                <w:color w:val="000000"/>
                <w:sz w:val="22"/>
                <w:szCs w:val="22"/>
                <w:lang w:val="fr-FR" w:eastAsia="fr-FR"/>
              </w:rPr>
              <w:t xml:space="preserve">Plan d’action </w:t>
            </w:r>
            <w:proofErr w:type="gramStart"/>
            <w:r w:rsidRPr="005B6A3C">
              <w:rPr>
                <w:rFonts w:ascii="Calibri" w:eastAsia="Times New Roman" w:hAnsi="Calibri" w:cs="Times New Roman"/>
                <w:b/>
                <w:bCs/>
                <w:color w:val="000000"/>
                <w:sz w:val="22"/>
                <w:szCs w:val="22"/>
                <w:lang w:val="fr-FR" w:eastAsia="fr-FR"/>
              </w:rPr>
              <w:t>2:</w:t>
            </w:r>
            <w:proofErr w:type="gramEnd"/>
            <w:r w:rsidRPr="005B6A3C">
              <w:rPr>
                <w:rFonts w:ascii="Calibri" w:eastAsia="Times New Roman" w:hAnsi="Calibri" w:cs="Times New Roman"/>
                <w:b/>
                <w:bCs/>
                <w:color w:val="000000"/>
                <w:sz w:val="22"/>
                <w:szCs w:val="22"/>
                <w:lang w:val="fr-FR" w:eastAsia="fr-FR"/>
              </w:rPr>
              <w:t xml:space="preserve"> Recherche</w:t>
            </w:r>
          </w:p>
        </w:tc>
        <w:tc>
          <w:tcPr>
            <w:tcW w:w="2126" w:type="dxa"/>
            <w:tcBorders>
              <w:top w:val="nil"/>
              <w:left w:val="nil"/>
              <w:bottom w:val="single" w:sz="4" w:space="0" w:color="auto"/>
              <w:right w:val="single" w:sz="4" w:space="0" w:color="auto"/>
            </w:tcBorders>
            <w:shd w:val="clear" w:color="000000" w:fill="FFFFFF"/>
            <w:vAlign w:val="center"/>
            <w:hideMark/>
          </w:tcPr>
          <w:p w14:paraId="6EDAEE55" w14:textId="77777777" w:rsidR="00905AAA" w:rsidRPr="005B6A3C" w:rsidRDefault="00905AAA" w:rsidP="00414383">
            <w:pPr>
              <w:jc w:val="center"/>
              <w:rPr>
                <w:rFonts w:ascii="Times New Roman" w:eastAsia="Times New Roman" w:hAnsi="Times New Roman" w:cs="Times New Roman"/>
                <w:color w:val="000000"/>
                <w:lang w:val="fr-FR" w:eastAsia="fr-FR"/>
              </w:rPr>
            </w:pPr>
            <w:r w:rsidRPr="005B6A3C">
              <w:rPr>
                <w:rFonts w:ascii="Times New Roman" w:eastAsia="Times New Roman" w:hAnsi="Times New Roman" w:cs="Times New Roman"/>
                <w:color w:val="000000"/>
                <w:lang w:val="fr-FR" w:eastAsia="fr-FR"/>
              </w:rPr>
              <w:t>783 359 264</w:t>
            </w:r>
          </w:p>
        </w:tc>
        <w:tc>
          <w:tcPr>
            <w:tcW w:w="2126" w:type="dxa"/>
            <w:tcBorders>
              <w:top w:val="nil"/>
              <w:left w:val="nil"/>
              <w:bottom w:val="single" w:sz="4" w:space="0" w:color="auto"/>
              <w:right w:val="single" w:sz="4" w:space="0" w:color="auto"/>
            </w:tcBorders>
            <w:shd w:val="clear" w:color="000000" w:fill="FFFFFF"/>
            <w:vAlign w:val="center"/>
            <w:hideMark/>
          </w:tcPr>
          <w:p w14:paraId="5FF6200C" w14:textId="77777777" w:rsidR="00905AAA" w:rsidRPr="005B6A3C" w:rsidRDefault="00905AAA" w:rsidP="00414383">
            <w:pPr>
              <w:jc w:val="center"/>
              <w:rPr>
                <w:rFonts w:ascii="Times New Roman" w:eastAsia="Times New Roman" w:hAnsi="Times New Roman" w:cs="Times New Roman"/>
                <w:lang w:val="fr-FR" w:eastAsia="fr-FR"/>
              </w:rPr>
            </w:pPr>
            <w:r w:rsidRPr="005B6A3C">
              <w:rPr>
                <w:rFonts w:ascii="Times New Roman" w:eastAsia="Times New Roman" w:hAnsi="Times New Roman" w:cs="Times New Roman"/>
                <w:lang w:val="fr-FR" w:eastAsia="fr-FR"/>
              </w:rPr>
              <w:t>19 781 072</w:t>
            </w:r>
          </w:p>
        </w:tc>
        <w:tc>
          <w:tcPr>
            <w:tcW w:w="2268" w:type="dxa"/>
            <w:tcBorders>
              <w:top w:val="nil"/>
              <w:left w:val="nil"/>
              <w:bottom w:val="single" w:sz="4" w:space="0" w:color="auto"/>
              <w:right w:val="single" w:sz="4" w:space="0" w:color="auto"/>
            </w:tcBorders>
            <w:shd w:val="clear" w:color="auto" w:fill="auto"/>
            <w:noWrap/>
            <w:vAlign w:val="bottom"/>
            <w:hideMark/>
          </w:tcPr>
          <w:p w14:paraId="00385F3B" w14:textId="77777777" w:rsidR="00905AAA" w:rsidRPr="005B6A3C" w:rsidRDefault="00905AAA" w:rsidP="00414383">
            <w:pPr>
              <w:jc w:val="center"/>
              <w:rPr>
                <w:rFonts w:ascii="Calibri" w:eastAsia="Times New Roman" w:hAnsi="Calibri" w:cs="Times New Roman"/>
                <w:color w:val="000000"/>
                <w:sz w:val="22"/>
                <w:szCs w:val="22"/>
                <w:lang w:val="fr-FR" w:eastAsia="fr-FR"/>
              </w:rPr>
            </w:pPr>
            <w:r w:rsidRPr="005B6A3C">
              <w:rPr>
                <w:rFonts w:ascii="Calibri" w:eastAsia="Times New Roman" w:hAnsi="Calibri" w:cs="Times New Roman"/>
                <w:color w:val="000000"/>
                <w:sz w:val="22"/>
                <w:szCs w:val="22"/>
                <w:lang w:val="fr-FR" w:eastAsia="fr-FR"/>
              </w:rPr>
              <w:t>2,53%</w:t>
            </w:r>
          </w:p>
        </w:tc>
      </w:tr>
      <w:tr w:rsidR="00905AAA" w:rsidRPr="005B6A3C" w14:paraId="0FE7B42C" w14:textId="77777777" w:rsidTr="00905AAA">
        <w:trPr>
          <w:trHeight w:val="6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4CC27966" w14:textId="77777777" w:rsidR="00905AAA" w:rsidRPr="005B6A3C" w:rsidRDefault="00905AAA" w:rsidP="00414383">
            <w:pPr>
              <w:rPr>
                <w:rFonts w:ascii="Calibri" w:eastAsia="Times New Roman" w:hAnsi="Calibri" w:cs="Times New Roman"/>
                <w:b/>
                <w:bCs/>
                <w:color w:val="000000"/>
                <w:sz w:val="22"/>
                <w:szCs w:val="22"/>
                <w:lang w:val="fr-FR" w:eastAsia="fr-FR"/>
              </w:rPr>
            </w:pPr>
            <w:r w:rsidRPr="005B6A3C">
              <w:rPr>
                <w:rFonts w:ascii="Calibri" w:eastAsia="Times New Roman" w:hAnsi="Calibri" w:cs="Times New Roman"/>
                <w:b/>
                <w:bCs/>
                <w:color w:val="000000"/>
                <w:sz w:val="22"/>
                <w:szCs w:val="22"/>
                <w:lang w:val="fr-FR" w:eastAsia="fr-FR"/>
              </w:rPr>
              <w:t xml:space="preserve">Plan d'action </w:t>
            </w:r>
            <w:proofErr w:type="gramStart"/>
            <w:r w:rsidRPr="005B6A3C">
              <w:rPr>
                <w:rFonts w:ascii="Calibri" w:eastAsia="Times New Roman" w:hAnsi="Calibri" w:cs="Times New Roman"/>
                <w:b/>
                <w:bCs/>
                <w:color w:val="000000"/>
                <w:sz w:val="22"/>
                <w:szCs w:val="22"/>
                <w:lang w:val="fr-FR" w:eastAsia="fr-FR"/>
              </w:rPr>
              <w:t>3:</w:t>
            </w:r>
            <w:proofErr w:type="gramEnd"/>
            <w:r w:rsidRPr="005B6A3C">
              <w:rPr>
                <w:rFonts w:ascii="Calibri" w:eastAsia="Times New Roman" w:hAnsi="Calibri" w:cs="Times New Roman"/>
                <w:b/>
                <w:bCs/>
                <w:color w:val="000000"/>
                <w:sz w:val="22"/>
                <w:szCs w:val="22"/>
                <w:lang w:val="fr-FR" w:eastAsia="fr-FR"/>
              </w:rPr>
              <w:t xml:space="preserve"> </w:t>
            </w:r>
            <w:proofErr w:type="spellStart"/>
            <w:r w:rsidRPr="005B6A3C">
              <w:rPr>
                <w:rFonts w:ascii="Calibri" w:eastAsia="Times New Roman" w:hAnsi="Calibri" w:cs="Times New Roman"/>
                <w:b/>
                <w:bCs/>
                <w:color w:val="000000"/>
                <w:sz w:val="22"/>
                <w:szCs w:val="22"/>
                <w:lang w:val="fr-FR" w:eastAsia="fr-FR"/>
              </w:rPr>
              <w:t>Generation</w:t>
            </w:r>
            <w:proofErr w:type="spellEnd"/>
            <w:r w:rsidRPr="005B6A3C">
              <w:rPr>
                <w:rFonts w:ascii="Calibri" w:eastAsia="Times New Roman" w:hAnsi="Calibri" w:cs="Times New Roman"/>
                <w:b/>
                <w:bCs/>
                <w:color w:val="000000"/>
                <w:sz w:val="22"/>
                <w:szCs w:val="22"/>
                <w:lang w:val="fr-FR" w:eastAsia="fr-FR"/>
              </w:rPr>
              <w:t xml:space="preserve"> de revenus</w:t>
            </w:r>
          </w:p>
        </w:tc>
        <w:tc>
          <w:tcPr>
            <w:tcW w:w="2126" w:type="dxa"/>
            <w:tcBorders>
              <w:top w:val="nil"/>
              <w:left w:val="nil"/>
              <w:bottom w:val="single" w:sz="4" w:space="0" w:color="auto"/>
              <w:right w:val="single" w:sz="4" w:space="0" w:color="auto"/>
            </w:tcBorders>
            <w:shd w:val="clear" w:color="000000" w:fill="FFFFFF"/>
            <w:vAlign w:val="center"/>
            <w:hideMark/>
          </w:tcPr>
          <w:p w14:paraId="5BB824B0" w14:textId="77777777" w:rsidR="00905AAA" w:rsidRPr="005B6A3C" w:rsidRDefault="00905AAA" w:rsidP="00414383">
            <w:pPr>
              <w:jc w:val="center"/>
              <w:rPr>
                <w:rFonts w:ascii="Times New Roman" w:eastAsia="Times New Roman" w:hAnsi="Times New Roman" w:cs="Times New Roman"/>
                <w:color w:val="000000"/>
                <w:lang w:val="fr-FR" w:eastAsia="fr-FR"/>
              </w:rPr>
            </w:pPr>
            <w:r w:rsidRPr="005B6A3C">
              <w:rPr>
                <w:rFonts w:ascii="Times New Roman" w:eastAsia="Times New Roman" w:hAnsi="Times New Roman" w:cs="Times New Roman"/>
                <w:color w:val="000000"/>
                <w:lang w:val="fr-FR" w:eastAsia="fr-FR"/>
              </w:rPr>
              <w:t>0</w:t>
            </w:r>
          </w:p>
        </w:tc>
        <w:tc>
          <w:tcPr>
            <w:tcW w:w="2126" w:type="dxa"/>
            <w:tcBorders>
              <w:top w:val="nil"/>
              <w:left w:val="nil"/>
              <w:bottom w:val="single" w:sz="4" w:space="0" w:color="auto"/>
              <w:right w:val="single" w:sz="4" w:space="0" w:color="auto"/>
            </w:tcBorders>
            <w:shd w:val="clear" w:color="000000" w:fill="FFFFFF"/>
            <w:vAlign w:val="center"/>
            <w:hideMark/>
          </w:tcPr>
          <w:p w14:paraId="42644FCD" w14:textId="77777777" w:rsidR="00905AAA" w:rsidRPr="005B6A3C" w:rsidRDefault="00905AAA" w:rsidP="00414383">
            <w:pPr>
              <w:jc w:val="center"/>
              <w:rPr>
                <w:rFonts w:ascii="Times New Roman" w:eastAsia="Times New Roman" w:hAnsi="Times New Roman" w:cs="Times New Roman"/>
                <w:lang w:val="fr-FR" w:eastAsia="fr-FR"/>
              </w:rPr>
            </w:pPr>
            <w:r w:rsidRPr="005B6A3C">
              <w:rPr>
                <w:rFonts w:ascii="Times New Roman" w:eastAsia="Times New Roman" w:hAnsi="Times New Roman" w:cs="Times New Roman"/>
                <w:lang w:val="fr-FR" w:eastAsia="fr-FR"/>
              </w:rPr>
              <w:t>0</w:t>
            </w:r>
          </w:p>
        </w:tc>
        <w:tc>
          <w:tcPr>
            <w:tcW w:w="2268" w:type="dxa"/>
            <w:tcBorders>
              <w:top w:val="nil"/>
              <w:left w:val="nil"/>
              <w:bottom w:val="single" w:sz="4" w:space="0" w:color="auto"/>
              <w:right w:val="single" w:sz="4" w:space="0" w:color="auto"/>
            </w:tcBorders>
            <w:shd w:val="clear" w:color="auto" w:fill="auto"/>
            <w:noWrap/>
            <w:vAlign w:val="bottom"/>
            <w:hideMark/>
          </w:tcPr>
          <w:p w14:paraId="1D56397A" w14:textId="77777777" w:rsidR="00905AAA" w:rsidRPr="005B6A3C" w:rsidRDefault="00905AAA" w:rsidP="00414383">
            <w:pPr>
              <w:jc w:val="center"/>
              <w:rPr>
                <w:rFonts w:ascii="Calibri" w:eastAsia="Times New Roman" w:hAnsi="Calibri" w:cs="Times New Roman"/>
                <w:color w:val="000000"/>
                <w:sz w:val="22"/>
                <w:szCs w:val="22"/>
                <w:lang w:val="fr-FR" w:eastAsia="fr-FR"/>
              </w:rPr>
            </w:pPr>
            <w:r w:rsidRPr="005B6A3C">
              <w:rPr>
                <w:rFonts w:ascii="Calibri" w:eastAsia="Times New Roman" w:hAnsi="Calibri" w:cs="Times New Roman"/>
                <w:color w:val="000000"/>
                <w:sz w:val="22"/>
                <w:szCs w:val="22"/>
                <w:lang w:val="fr-FR" w:eastAsia="fr-FR"/>
              </w:rPr>
              <w:t>#DIV/</w:t>
            </w:r>
            <w:proofErr w:type="gramStart"/>
            <w:r w:rsidRPr="005B6A3C">
              <w:rPr>
                <w:rFonts w:ascii="Calibri" w:eastAsia="Times New Roman" w:hAnsi="Calibri" w:cs="Times New Roman"/>
                <w:color w:val="000000"/>
                <w:sz w:val="22"/>
                <w:szCs w:val="22"/>
                <w:lang w:val="fr-FR" w:eastAsia="fr-FR"/>
              </w:rPr>
              <w:t>0!</w:t>
            </w:r>
            <w:proofErr w:type="gramEnd"/>
          </w:p>
        </w:tc>
      </w:tr>
      <w:tr w:rsidR="00905AAA" w:rsidRPr="005B6A3C" w14:paraId="6D5234A7" w14:textId="77777777" w:rsidTr="00905AAA">
        <w:trPr>
          <w:trHeight w:val="6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46F7ADF6" w14:textId="77777777" w:rsidR="00905AAA" w:rsidRPr="005B6A3C" w:rsidRDefault="00905AAA" w:rsidP="00414383">
            <w:pPr>
              <w:rPr>
                <w:rFonts w:ascii="Calibri" w:eastAsia="Times New Roman" w:hAnsi="Calibri" w:cs="Times New Roman"/>
                <w:b/>
                <w:bCs/>
                <w:color w:val="000000"/>
                <w:sz w:val="22"/>
                <w:szCs w:val="22"/>
                <w:lang w:val="fr-FR" w:eastAsia="fr-FR"/>
              </w:rPr>
            </w:pPr>
            <w:r w:rsidRPr="005B6A3C">
              <w:rPr>
                <w:rFonts w:ascii="Calibri" w:eastAsia="Times New Roman" w:hAnsi="Calibri" w:cs="Times New Roman"/>
                <w:b/>
                <w:bCs/>
                <w:color w:val="000000"/>
                <w:sz w:val="22"/>
                <w:szCs w:val="22"/>
                <w:lang w:val="fr-FR" w:eastAsia="fr-FR"/>
              </w:rPr>
              <w:t xml:space="preserve">Plan d'action </w:t>
            </w:r>
            <w:proofErr w:type="gramStart"/>
            <w:r w:rsidRPr="005B6A3C">
              <w:rPr>
                <w:rFonts w:ascii="Calibri" w:eastAsia="Times New Roman" w:hAnsi="Calibri" w:cs="Times New Roman"/>
                <w:b/>
                <w:bCs/>
                <w:color w:val="000000"/>
                <w:sz w:val="22"/>
                <w:szCs w:val="22"/>
                <w:lang w:val="fr-FR" w:eastAsia="fr-FR"/>
              </w:rPr>
              <w:t>4:</w:t>
            </w:r>
            <w:proofErr w:type="gramEnd"/>
            <w:r w:rsidRPr="005B6A3C">
              <w:rPr>
                <w:rFonts w:ascii="Calibri" w:eastAsia="Times New Roman" w:hAnsi="Calibri" w:cs="Times New Roman"/>
                <w:b/>
                <w:bCs/>
                <w:color w:val="000000"/>
                <w:sz w:val="22"/>
                <w:szCs w:val="22"/>
                <w:lang w:val="fr-FR" w:eastAsia="fr-FR"/>
              </w:rPr>
              <w:t xml:space="preserve"> Service à la communauté/Partenariat</w:t>
            </w:r>
          </w:p>
        </w:tc>
        <w:tc>
          <w:tcPr>
            <w:tcW w:w="2126" w:type="dxa"/>
            <w:tcBorders>
              <w:top w:val="nil"/>
              <w:left w:val="nil"/>
              <w:bottom w:val="single" w:sz="4" w:space="0" w:color="auto"/>
              <w:right w:val="single" w:sz="4" w:space="0" w:color="auto"/>
            </w:tcBorders>
            <w:shd w:val="clear" w:color="000000" w:fill="FFFFFF"/>
            <w:vAlign w:val="center"/>
            <w:hideMark/>
          </w:tcPr>
          <w:p w14:paraId="26D99621" w14:textId="77777777" w:rsidR="00905AAA" w:rsidRPr="005B6A3C" w:rsidRDefault="00905AAA" w:rsidP="00414383">
            <w:pPr>
              <w:jc w:val="center"/>
              <w:rPr>
                <w:rFonts w:ascii="Times New Roman" w:eastAsia="Times New Roman" w:hAnsi="Times New Roman" w:cs="Times New Roman"/>
                <w:color w:val="000000"/>
                <w:lang w:val="fr-FR" w:eastAsia="fr-FR"/>
              </w:rPr>
            </w:pPr>
            <w:r w:rsidRPr="005B6A3C">
              <w:rPr>
                <w:rFonts w:ascii="Times New Roman" w:eastAsia="Times New Roman" w:hAnsi="Times New Roman" w:cs="Times New Roman"/>
                <w:color w:val="000000"/>
                <w:lang w:val="fr-FR" w:eastAsia="fr-FR"/>
              </w:rPr>
              <w:t>130 559 877</w:t>
            </w:r>
          </w:p>
        </w:tc>
        <w:tc>
          <w:tcPr>
            <w:tcW w:w="2126" w:type="dxa"/>
            <w:tcBorders>
              <w:top w:val="nil"/>
              <w:left w:val="nil"/>
              <w:bottom w:val="single" w:sz="4" w:space="0" w:color="auto"/>
              <w:right w:val="single" w:sz="4" w:space="0" w:color="auto"/>
            </w:tcBorders>
            <w:shd w:val="clear" w:color="000000" w:fill="FFFFFF"/>
            <w:vAlign w:val="center"/>
            <w:hideMark/>
          </w:tcPr>
          <w:p w14:paraId="046128B7" w14:textId="77777777" w:rsidR="00905AAA" w:rsidRPr="005B6A3C" w:rsidRDefault="00905AAA" w:rsidP="00414383">
            <w:pPr>
              <w:jc w:val="center"/>
              <w:rPr>
                <w:rFonts w:ascii="Times New Roman" w:eastAsia="Times New Roman" w:hAnsi="Times New Roman" w:cs="Times New Roman"/>
                <w:lang w:val="fr-FR" w:eastAsia="fr-FR"/>
              </w:rPr>
            </w:pPr>
            <w:r w:rsidRPr="005B6A3C">
              <w:rPr>
                <w:rFonts w:ascii="Times New Roman" w:eastAsia="Times New Roman" w:hAnsi="Times New Roman" w:cs="Times New Roman"/>
                <w:lang w:val="fr-FR" w:eastAsia="fr-FR"/>
              </w:rPr>
              <w:t>2 883 100</w:t>
            </w:r>
          </w:p>
        </w:tc>
        <w:tc>
          <w:tcPr>
            <w:tcW w:w="2268" w:type="dxa"/>
            <w:tcBorders>
              <w:top w:val="nil"/>
              <w:left w:val="nil"/>
              <w:bottom w:val="single" w:sz="4" w:space="0" w:color="auto"/>
              <w:right w:val="single" w:sz="4" w:space="0" w:color="auto"/>
            </w:tcBorders>
            <w:shd w:val="clear" w:color="auto" w:fill="auto"/>
            <w:noWrap/>
            <w:vAlign w:val="bottom"/>
            <w:hideMark/>
          </w:tcPr>
          <w:p w14:paraId="1E6394DA" w14:textId="77777777" w:rsidR="00905AAA" w:rsidRPr="005B6A3C" w:rsidRDefault="00905AAA" w:rsidP="00414383">
            <w:pPr>
              <w:jc w:val="center"/>
              <w:rPr>
                <w:rFonts w:ascii="Calibri" w:eastAsia="Times New Roman" w:hAnsi="Calibri" w:cs="Times New Roman"/>
                <w:color w:val="000000"/>
                <w:sz w:val="22"/>
                <w:szCs w:val="22"/>
                <w:lang w:val="fr-FR" w:eastAsia="fr-FR"/>
              </w:rPr>
            </w:pPr>
            <w:r w:rsidRPr="005B6A3C">
              <w:rPr>
                <w:rFonts w:ascii="Calibri" w:eastAsia="Times New Roman" w:hAnsi="Calibri" w:cs="Times New Roman"/>
                <w:color w:val="000000"/>
                <w:sz w:val="22"/>
                <w:szCs w:val="22"/>
                <w:lang w:val="fr-FR" w:eastAsia="fr-FR"/>
              </w:rPr>
              <w:t>2,21%</w:t>
            </w:r>
          </w:p>
        </w:tc>
      </w:tr>
      <w:tr w:rsidR="00905AAA" w:rsidRPr="005B6A3C" w14:paraId="074177EF" w14:textId="77777777" w:rsidTr="00905AAA">
        <w:trPr>
          <w:trHeight w:val="32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05BAD31F" w14:textId="77777777" w:rsidR="00905AAA" w:rsidRPr="005B6A3C" w:rsidRDefault="00905AAA" w:rsidP="00414383">
            <w:pPr>
              <w:rPr>
                <w:rFonts w:ascii="Calibri" w:eastAsia="Times New Roman" w:hAnsi="Calibri" w:cs="Times New Roman"/>
                <w:b/>
                <w:bCs/>
                <w:color w:val="000000"/>
                <w:sz w:val="22"/>
                <w:szCs w:val="22"/>
                <w:lang w:val="fr-FR" w:eastAsia="fr-FR"/>
              </w:rPr>
            </w:pPr>
            <w:r w:rsidRPr="005B6A3C">
              <w:rPr>
                <w:rFonts w:ascii="Calibri" w:eastAsia="Times New Roman" w:hAnsi="Calibri" w:cs="Times New Roman"/>
                <w:b/>
                <w:bCs/>
                <w:color w:val="000000"/>
                <w:sz w:val="22"/>
                <w:szCs w:val="22"/>
                <w:lang w:val="fr-FR" w:eastAsia="fr-FR"/>
              </w:rPr>
              <w:t xml:space="preserve">Plan d'action </w:t>
            </w:r>
            <w:proofErr w:type="gramStart"/>
            <w:r w:rsidRPr="005B6A3C">
              <w:rPr>
                <w:rFonts w:ascii="Calibri" w:eastAsia="Times New Roman" w:hAnsi="Calibri" w:cs="Times New Roman"/>
                <w:b/>
                <w:bCs/>
                <w:color w:val="000000"/>
                <w:sz w:val="22"/>
                <w:szCs w:val="22"/>
                <w:lang w:val="fr-FR" w:eastAsia="fr-FR"/>
              </w:rPr>
              <w:t>5:</w:t>
            </w:r>
            <w:proofErr w:type="gramEnd"/>
            <w:r w:rsidRPr="005B6A3C">
              <w:rPr>
                <w:rFonts w:ascii="Calibri" w:eastAsia="Times New Roman" w:hAnsi="Calibri" w:cs="Times New Roman"/>
                <w:b/>
                <w:bCs/>
                <w:color w:val="000000"/>
                <w:sz w:val="22"/>
                <w:szCs w:val="22"/>
                <w:lang w:val="fr-FR" w:eastAsia="fr-FR"/>
              </w:rPr>
              <w:t xml:space="preserve"> Gouvernance</w:t>
            </w:r>
          </w:p>
        </w:tc>
        <w:tc>
          <w:tcPr>
            <w:tcW w:w="2126" w:type="dxa"/>
            <w:tcBorders>
              <w:top w:val="nil"/>
              <w:left w:val="nil"/>
              <w:bottom w:val="single" w:sz="4" w:space="0" w:color="auto"/>
              <w:right w:val="single" w:sz="4" w:space="0" w:color="auto"/>
            </w:tcBorders>
            <w:shd w:val="clear" w:color="000000" w:fill="FFFFFF"/>
            <w:vAlign w:val="center"/>
            <w:hideMark/>
          </w:tcPr>
          <w:p w14:paraId="6B4207D4" w14:textId="77777777" w:rsidR="00905AAA" w:rsidRPr="005B6A3C" w:rsidRDefault="00905AAA" w:rsidP="00414383">
            <w:pPr>
              <w:jc w:val="center"/>
              <w:rPr>
                <w:rFonts w:ascii="Times New Roman" w:eastAsia="Times New Roman" w:hAnsi="Times New Roman" w:cs="Times New Roman"/>
                <w:color w:val="000000"/>
                <w:lang w:val="fr-FR" w:eastAsia="fr-FR"/>
              </w:rPr>
            </w:pPr>
            <w:r w:rsidRPr="005B6A3C">
              <w:rPr>
                <w:rFonts w:ascii="Times New Roman" w:eastAsia="Times New Roman" w:hAnsi="Times New Roman" w:cs="Times New Roman"/>
                <w:color w:val="000000"/>
                <w:lang w:val="fr-FR" w:eastAsia="fr-FR"/>
              </w:rPr>
              <w:t>652 799 387</w:t>
            </w:r>
          </w:p>
        </w:tc>
        <w:tc>
          <w:tcPr>
            <w:tcW w:w="2126" w:type="dxa"/>
            <w:tcBorders>
              <w:top w:val="nil"/>
              <w:left w:val="nil"/>
              <w:bottom w:val="single" w:sz="4" w:space="0" w:color="auto"/>
              <w:right w:val="single" w:sz="4" w:space="0" w:color="auto"/>
            </w:tcBorders>
            <w:shd w:val="clear" w:color="000000" w:fill="FFFFFF"/>
            <w:vAlign w:val="center"/>
            <w:hideMark/>
          </w:tcPr>
          <w:p w14:paraId="5F33395D" w14:textId="77777777" w:rsidR="00905AAA" w:rsidRPr="005B6A3C" w:rsidRDefault="00905AAA" w:rsidP="00414383">
            <w:pPr>
              <w:jc w:val="center"/>
              <w:rPr>
                <w:rFonts w:ascii="Times New Roman" w:eastAsia="Times New Roman" w:hAnsi="Times New Roman" w:cs="Times New Roman"/>
                <w:lang w:val="fr-FR" w:eastAsia="fr-FR"/>
              </w:rPr>
            </w:pPr>
            <w:r w:rsidRPr="005B6A3C">
              <w:rPr>
                <w:rFonts w:ascii="Times New Roman" w:eastAsia="Times New Roman" w:hAnsi="Times New Roman" w:cs="Times New Roman"/>
                <w:lang w:val="fr-FR" w:eastAsia="fr-FR"/>
              </w:rPr>
              <w:t>74 416 617</w:t>
            </w:r>
          </w:p>
        </w:tc>
        <w:tc>
          <w:tcPr>
            <w:tcW w:w="2268" w:type="dxa"/>
            <w:tcBorders>
              <w:top w:val="nil"/>
              <w:left w:val="nil"/>
              <w:bottom w:val="single" w:sz="4" w:space="0" w:color="auto"/>
              <w:right w:val="single" w:sz="4" w:space="0" w:color="auto"/>
            </w:tcBorders>
            <w:shd w:val="clear" w:color="auto" w:fill="auto"/>
            <w:noWrap/>
            <w:vAlign w:val="bottom"/>
            <w:hideMark/>
          </w:tcPr>
          <w:p w14:paraId="4B2C8D9C" w14:textId="77777777" w:rsidR="00905AAA" w:rsidRPr="005B6A3C" w:rsidRDefault="00905AAA" w:rsidP="00414383">
            <w:pPr>
              <w:jc w:val="center"/>
              <w:rPr>
                <w:rFonts w:ascii="Calibri" w:eastAsia="Times New Roman" w:hAnsi="Calibri" w:cs="Times New Roman"/>
                <w:color w:val="000000"/>
                <w:sz w:val="22"/>
                <w:szCs w:val="22"/>
                <w:lang w:val="fr-FR" w:eastAsia="fr-FR"/>
              </w:rPr>
            </w:pPr>
            <w:r w:rsidRPr="005B6A3C">
              <w:rPr>
                <w:rFonts w:ascii="Calibri" w:eastAsia="Times New Roman" w:hAnsi="Calibri" w:cs="Times New Roman"/>
                <w:color w:val="000000"/>
                <w:sz w:val="22"/>
                <w:szCs w:val="22"/>
                <w:lang w:val="fr-FR" w:eastAsia="fr-FR"/>
              </w:rPr>
              <w:t>11,40%</w:t>
            </w:r>
          </w:p>
        </w:tc>
      </w:tr>
      <w:tr w:rsidR="00905AAA" w:rsidRPr="005B6A3C" w14:paraId="1B639BC4" w14:textId="77777777" w:rsidTr="00905AAA">
        <w:trPr>
          <w:trHeight w:val="320"/>
        </w:trPr>
        <w:tc>
          <w:tcPr>
            <w:tcW w:w="3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A2D2A1" w14:textId="77777777" w:rsidR="00905AAA" w:rsidRPr="005B6A3C" w:rsidRDefault="00905AAA" w:rsidP="00414383">
            <w:pPr>
              <w:jc w:val="center"/>
              <w:rPr>
                <w:rFonts w:ascii="Times New Roman" w:eastAsia="Times New Roman" w:hAnsi="Times New Roman" w:cs="Times New Roman"/>
                <w:b/>
                <w:bCs/>
                <w:color w:val="000000"/>
                <w:lang w:val="fr-FR" w:eastAsia="fr-FR"/>
              </w:rPr>
            </w:pPr>
            <w:r w:rsidRPr="005B6A3C">
              <w:rPr>
                <w:rFonts w:ascii="Times New Roman" w:eastAsia="Times New Roman" w:hAnsi="Times New Roman" w:cs="Times New Roman"/>
                <w:b/>
                <w:bCs/>
                <w:color w:val="000000"/>
                <w:lang w:val="fr-FR" w:eastAsia="fr-FR"/>
              </w:rPr>
              <w:t>AGRISAN</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02775D48" w14:textId="77777777" w:rsidR="00905AAA" w:rsidRPr="005B6A3C" w:rsidRDefault="00905AAA" w:rsidP="00414383">
            <w:pPr>
              <w:jc w:val="center"/>
              <w:rPr>
                <w:rFonts w:ascii="Times New Roman" w:eastAsia="Times New Roman" w:hAnsi="Times New Roman" w:cs="Times New Roman"/>
                <w:color w:val="000000"/>
                <w:lang w:val="fr-FR" w:eastAsia="fr-FR"/>
              </w:rPr>
            </w:pPr>
            <w:r w:rsidRPr="005B6A3C">
              <w:rPr>
                <w:rFonts w:ascii="Times New Roman" w:eastAsia="Times New Roman" w:hAnsi="Times New Roman" w:cs="Times New Roman"/>
                <w:color w:val="000000"/>
                <w:lang w:val="fr-FR" w:eastAsia="fr-FR"/>
              </w:rPr>
              <w:t>2 611 197 548</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3842511F" w14:textId="77777777" w:rsidR="00905AAA" w:rsidRPr="005B6A3C" w:rsidRDefault="00905AAA" w:rsidP="00414383">
            <w:pPr>
              <w:jc w:val="center"/>
              <w:rPr>
                <w:rFonts w:ascii="Times New Roman" w:eastAsia="Times New Roman" w:hAnsi="Times New Roman" w:cs="Times New Roman"/>
                <w:lang w:val="fr-FR" w:eastAsia="fr-FR"/>
              </w:rPr>
            </w:pPr>
            <w:r w:rsidRPr="005B6A3C">
              <w:rPr>
                <w:rFonts w:ascii="Times New Roman" w:eastAsia="Times New Roman" w:hAnsi="Times New Roman" w:cs="Times New Roman"/>
                <w:lang w:val="fr-FR" w:eastAsia="fr-FR"/>
              </w:rPr>
              <w:t>199 486 429</w:t>
            </w:r>
          </w:p>
        </w:tc>
        <w:tc>
          <w:tcPr>
            <w:tcW w:w="2268" w:type="dxa"/>
            <w:tcBorders>
              <w:top w:val="nil"/>
              <w:left w:val="nil"/>
              <w:bottom w:val="single" w:sz="4" w:space="0" w:color="auto"/>
              <w:right w:val="single" w:sz="4" w:space="0" w:color="auto"/>
            </w:tcBorders>
            <w:shd w:val="clear" w:color="auto" w:fill="F2F2F2" w:themeFill="background1" w:themeFillShade="F2"/>
            <w:noWrap/>
            <w:vAlign w:val="bottom"/>
            <w:hideMark/>
          </w:tcPr>
          <w:p w14:paraId="632EF46B" w14:textId="77777777" w:rsidR="00905AAA" w:rsidRPr="005B6A3C" w:rsidRDefault="00905AAA" w:rsidP="00414383">
            <w:pPr>
              <w:jc w:val="center"/>
              <w:rPr>
                <w:rFonts w:ascii="Calibri" w:eastAsia="Times New Roman" w:hAnsi="Calibri" w:cs="Times New Roman"/>
                <w:color w:val="000000"/>
                <w:sz w:val="22"/>
                <w:szCs w:val="22"/>
                <w:lang w:val="fr-FR" w:eastAsia="fr-FR"/>
              </w:rPr>
            </w:pPr>
            <w:r w:rsidRPr="005B6A3C">
              <w:rPr>
                <w:rFonts w:ascii="Calibri" w:eastAsia="Times New Roman" w:hAnsi="Calibri" w:cs="Times New Roman"/>
                <w:color w:val="000000"/>
                <w:sz w:val="22"/>
                <w:szCs w:val="22"/>
                <w:lang w:val="fr-FR" w:eastAsia="fr-FR"/>
              </w:rPr>
              <w:t>7,64%</w:t>
            </w:r>
          </w:p>
        </w:tc>
      </w:tr>
    </w:tbl>
    <w:p w14:paraId="6C81EB0C" w14:textId="77777777" w:rsidR="00905AAA" w:rsidRDefault="00905AAA" w:rsidP="00905AAA"/>
    <w:p w14:paraId="4F231622" w14:textId="77777777" w:rsidR="00905AAA" w:rsidRDefault="00905AAA" w:rsidP="00905AAA"/>
    <w:p w14:paraId="0D63A415" w14:textId="09D00312" w:rsidR="00905AAA" w:rsidRDefault="00905AAA" w:rsidP="00736AED">
      <w:pPr>
        <w:jc w:val="both"/>
      </w:pPr>
      <w:r>
        <w:t xml:space="preserve">Le taux d’exécution global du  au 06 mai 2022 est de l’ordre de 7,64%. </w:t>
      </w:r>
      <w:r w:rsidR="00E92E61">
        <w:t xml:space="preserve">Ces données ne tienne pas compte des engagements pris pendant les deux derniers mois et dont l’exécution est en cours. Par ailleurs </w:t>
      </w:r>
      <w:r w:rsidR="00736AED">
        <w:t>d’autre</w:t>
      </w:r>
      <w:r w:rsidR="00E92E61">
        <w:t>s action</w:t>
      </w:r>
      <w:r w:rsidR="00736AED">
        <w:t>s envisagés engagent  le processus mise en œuvre.</w:t>
      </w:r>
    </w:p>
    <w:p w14:paraId="10F79952" w14:textId="77777777" w:rsidR="00905AAA" w:rsidRDefault="00905AAA" w:rsidP="009D11E8">
      <w:pPr>
        <w:spacing w:line="276" w:lineRule="auto"/>
        <w:jc w:val="both"/>
        <w:rPr>
          <w:rFonts w:ascii="Times New Roman" w:hAnsi="Times New Roman" w:cs="Times New Roman"/>
        </w:rPr>
      </w:pPr>
    </w:p>
    <w:p w14:paraId="7B17184B" w14:textId="56B80748" w:rsidR="0070178C" w:rsidRPr="00007DB4" w:rsidRDefault="0070178C" w:rsidP="009D11E8">
      <w:pPr>
        <w:pStyle w:val="Titre1"/>
        <w:numPr>
          <w:ilvl w:val="0"/>
          <w:numId w:val="8"/>
        </w:numPr>
        <w:spacing w:line="276" w:lineRule="auto"/>
        <w:ind w:left="426" w:hanging="371"/>
        <w:rPr>
          <w:rFonts w:asciiTheme="minorHAnsi" w:hAnsiTheme="minorHAnsi" w:cstheme="minorHAnsi"/>
          <w:b/>
          <w:bCs/>
          <w:color w:val="000000" w:themeColor="text1"/>
          <w:sz w:val="24"/>
          <w:szCs w:val="24"/>
        </w:rPr>
      </w:pPr>
      <w:bookmarkStart w:id="18" w:name="_Toc102897390"/>
      <w:bookmarkStart w:id="19" w:name="_Toc102897605"/>
      <w:bookmarkStart w:id="20" w:name="_Toc102897666"/>
      <w:bookmarkStart w:id="21" w:name="_Toc102897744"/>
      <w:bookmarkStart w:id="22" w:name="_Toc102898056"/>
      <w:bookmarkStart w:id="23" w:name="_Toc102898105"/>
      <w:bookmarkStart w:id="24" w:name="_Toc102898162"/>
      <w:bookmarkStart w:id="25" w:name="_Toc102898209"/>
      <w:bookmarkStart w:id="26" w:name="_Toc103006574"/>
      <w:r w:rsidRPr="00007DB4">
        <w:rPr>
          <w:rFonts w:asciiTheme="minorHAnsi" w:hAnsiTheme="minorHAnsi" w:cstheme="minorHAnsi"/>
          <w:b/>
          <w:bCs/>
          <w:color w:val="000000" w:themeColor="text1"/>
          <w:sz w:val="24"/>
          <w:szCs w:val="24"/>
        </w:rPr>
        <w:t>LES ENGAGEMENTS</w:t>
      </w:r>
      <w:bookmarkEnd w:id="18"/>
      <w:bookmarkEnd w:id="19"/>
      <w:bookmarkEnd w:id="20"/>
      <w:bookmarkEnd w:id="21"/>
      <w:bookmarkEnd w:id="22"/>
      <w:bookmarkEnd w:id="23"/>
      <w:bookmarkEnd w:id="24"/>
      <w:bookmarkEnd w:id="25"/>
      <w:bookmarkEnd w:id="26"/>
    </w:p>
    <w:p w14:paraId="050BE8F2" w14:textId="77777777" w:rsidR="00351F22" w:rsidRDefault="00351F22" w:rsidP="009D11E8">
      <w:pPr>
        <w:spacing w:line="276" w:lineRule="auto"/>
        <w:jc w:val="both"/>
        <w:rPr>
          <w:rFonts w:ascii="Times New Roman" w:hAnsi="Times New Roman" w:cs="Times New Roman"/>
          <w:b/>
          <w:bCs/>
        </w:rPr>
      </w:pPr>
    </w:p>
    <w:p w14:paraId="194EA072" w14:textId="06276954" w:rsidR="00A33868" w:rsidRPr="00BF13A3" w:rsidRDefault="00903221" w:rsidP="009D11E8">
      <w:pPr>
        <w:spacing w:line="276" w:lineRule="auto"/>
        <w:jc w:val="both"/>
        <w:rPr>
          <w:rFonts w:ascii="Times New Roman" w:hAnsi="Times New Roman" w:cs="Times New Roman"/>
          <w:b/>
          <w:bCs/>
        </w:rPr>
      </w:pPr>
      <w:r w:rsidRPr="000B3547">
        <w:rPr>
          <w:rFonts w:ascii="Times New Roman" w:hAnsi="Times New Roman" w:cs="Times New Roman"/>
          <w:b/>
          <w:bCs/>
        </w:rPr>
        <w:t>Le</w:t>
      </w:r>
      <w:r>
        <w:rPr>
          <w:rFonts w:ascii="Times New Roman" w:hAnsi="Times New Roman" w:cs="Times New Roman"/>
          <w:b/>
          <w:bCs/>
        </w:rPr>
        <w:t xml:space="preserve">s engagements </w:t>
      </w:r>
      <w:r w:rsidR="00FE6653">
        <w:rPr>
          <w:rFonts w:ascii="Times New Roman" w:hAnsi="Times New Roman" w:cs="Times New Roman"/>
          <w:b/>
          <w:bCs/>
        </w:rPr>
        <w:t>pour</w:t>
      </w:r>
      <w:r w:rsidRPr="000B3547">
        <w:rPr>
          <w:rFonts w:ascii="Times New Roman" w:hAnsi="Times New Roman" w:cs="Times New Roman"/>
          <w:b/>
          <w:bCs/>
        </w:rPr>
        <w:t xml:space="preserve"> </w:t>
      </w:r>
      <w:r>
        <w:rPr>
          <w:rFonts w:ascii="Times New Roman" w:hAnsi="Times New Roman" w:cs="Times New Roman"/>
          <w:b/>
          <w:bCs/>
        </w:rPr>
        <w:t>renforce</w:t>
      </w:r>
      <w:r w:rsidR="00FE6653">
        <w:rPr>
          <w:rFonts w:ascii="Times New Roman" w:hAnsi="Times New Roman" w:cs="Times New Roman"/>
          <w:b/>
          <w:bCs/>
        </w:rPr>
        <w:t>r</w:t>
      </w:r>
      <w:r>
        <w:rPr>
          <w:rFonts w:ascii="Times New Roman" w:hAnsi="Times New Roman" w:cs="Times New Roman"/>
          <w:b/>
          <w:bCs/>
        </w:rPr>
        <w:t xml:space="preserve"> </w:t>
      </w:r>
      <w:r w:rsidR="00FE6653">
        <w:rPr>
          <w:rFonts w:ascii="Times New Roman" w:hAnsi="Times New Roman" w:cs="Times New Roman"/>
          <w:b/>
          <w:bCs/>
        </w:rPr>
        <w:t>le</w:t>
      </w:r>
      <w:r>
        <w:rPr>
          <w:rFonts w:ascii="Times New Roman" w:hAnsi="Times New Roman" w:cs="Times New Roman"/>
          <w:b/>
          <w:bCs/>
        </w:rPr>
        <w:t xml:space="preserve"> personnel d’</w:t>
      </w:r>
      <w:r w:rsidR="0045684D">
        <w:rPr>
          <w:rFonts w:ascii="Times New Roman" w:hAnsi="Times New Roman" w:cs="Times New Roman"/>
          <w:b/>
          <w:bCs/>
        </w:rPr>
        <w:t xml:space="preserve">appui </w:t>
      </w:r>
      <w:r w:rsidR="008E2F48">
        <w:rPr>
          <w:rFonts w:ascii="Times New Roman" w:hAnsi="Times New Roman" w:cs="Times New Roman"/>
          <w:b/>
          <w:bCs/>
        </w:rPr>
        <w:t>à l’</w:t>
      </w:r>
      <w:r>
        <w:rPr>
          <w:rFonts w:ascii="Times New Roman" w:hAnsi="Times New Roman" w:cs="Times New Roman"/>
          <w:b/>
          <w:bCs/>
        </w:rPr>
        <w:t>exécution</w:t>
      </w:r>
    </w:p>
    <w:p w14:paraId="71C69318" w14:textId="046FBB61" w:rsidR="00A5630C" w:rsidRDefault="00A33868" w:rsidP="009D11E8">
      <w:pPr>
        <w:spacing w:line="276" w:lineRule="auto"/>
        <w:jc w:val="both"/>
        <w:rPr>
          <w:rFonts w:ascii="Times New Roman" w:hAnsi="Times New Roman" w:cs="Times New Roman"/>
        </w:rPr>
      </w:pPr>
      <w:r>
        <w:rPr>
          <w:rFonts w:ascii="Times New Roman" w:hAnsi="Times New Roman" w:cs="Times New Roman"/>
        </w:rPr>
        <w:t xml:space="preserve">Afin de </w:t>
      </w:r>
      <w:r w:rsidR="007C45B2">
        <w:rPr>
          <w:rFonts w:ascii="Times New Roman" w:hAnsi="Times New Roman" w:cs="Times New Roman"/>
        </w:rPr>
        <w:t>renforcer</w:t>
      </w:r>
      <w:r w:rsidR="00903221">
        <w:rPr>
          <w:rFonts w:ascii="Times New Roman" w:hAnsi="Times New Roman" w:cs="Times New Roman"/>
        </w:rPr>
        <w:t xml:space="preserve"> </w:t>
      </w:r>
      <w:r w:rsidR="007C45B2">
        <w:rPr>
          <w:rFonts w:ascii="Times New Roman" w:hAnsi="Times New Roman" w:cs="Times New Roman"/>
        </w:rPr>
        <w:t>le</w:t>
      </w:r>
      <w:r>
        <w:rPr>
          <w:rFonts w:ascii="Times New Roman" w:hAnsi="Times New Roman" w:cs="Times New Roman"/>
        </w:rPr>
        <w:t xml:space="preserve"> processus de suivi évaluation et d’</w:t>
      </w:r>
      <w:r w:rsidR="00903221">
        <w:rPr>
          <w:rFonts w:ascii="Times New Roman" w:hAnsi="Times New Roman" w:cs="Times New Roman"/>
        </w:rPr>
        <w:t>e</w:t>
      </w:r>
      <w:r w:rsidR="00A5630C">
        <w:rPr>
          <w:rFonts w:ascii="Times New Roman" w:hAnsi="Times New Roman" w:cs="Times New Roman"/>
        </w:rPr>
        <w:t>xécution budgétaires</w:t>
      </w:r>
      <w:r w:rsidR="00903221">
        <w:rPr>
          <w:rFonts w:ascii="Times New Roman" w:hAnsi="Times New Roman" w:cs="Times New Roman"/>
        </w:rPr>
        <w:t>,</w:t>
      </w:r>
      <w:r w:rsidR="00D83A8C">
        <w:rPr>
          <w:rFonts w:ascii="Times New Roman" w:hAnsi="Times New Roman" w:cs="Times New Roman"/>
        </w:rPr>
        <w:t xml:space="preserve"> </w:t>
      </w:r>
      <w:r w:rsidR="00A5630C">
        <w:rPr>
          <w:rFonts w:ascii="Times New Roman" w:hAnsi="Times New Roman" w:cs="Times New Roman"/>
        </w:rPr>
        <w:t xml:space="preserve">le CEA -AGRISAN </w:t>
      </w:r>
      <w:r w:rsidR="00903221">
        <w:rPr>
          <w:rFonts w:ascii="Times New Roman" w:hAnsi="Times New Roman" w:cs="Times New Roman"/>
        </w:rPr>
        <w:t>est dans la phase</w:t>
      </w:r>
      <w:r w:rsidR="00A82BCF">
        <w:rPr>
          <w:rFonts w:ascii="Times New Roman" w:hAnsi="Times New Roman" w:cs="Times New Roman"/>
        </w:rPr>
        <w:t xml:space="preserve"> finale de recrutement d’un comptable et va également recrut</w:t>
      </w:r>
      <w:r w:rsidR="003702D5">
        <w:rPr>
          <w:rFonts w:ascii="Times New Roman" w:hAnsi="Times New Roman" w:cs="Times New Roman"/>
        </w:rPr>
        <w:t>er</w:t>
      </w:r>
      <w:r w:rsidR="00A5630C">
        <w:rPr>
          <w:rFonts w:ascii="Times New Roman" w:hAnsi="Times New Roman" w:cs="Times New Roman"/>
        </w:rPr>
        <w:t xml:space="preserve"> un </w:t>
      </w:r>
      <w:r w:rsidR="004A48F0">
        <w:rPr>
          <w:rFonts w:ascii="Times New Roman" w:hAnsi="Times New Roman" w:cs="Times New Roman"/>
        </w:rPr>
        <w:t>prestataire</w:t>
      </w:r>
      <w:r w:rsidR="00A5630C">
        <w:rPr>
          <w:rFonts w:ascii="Times New Roman" w:hAnsi="Times New Roman" w:cs="Times New Roman"/>
        </w:rPr>
        <w:t xml:space="preserve"> en </w:t>
      </w:r>
      <w:r w:rsidR="00A82BCF">
        <w:rPr>
          <w:rFonts w:ascii="Times New Roman" w:hAnsi="Times New Roman" w:cs="Times New Roman"/>
        </w:rPr>
        <w:t xml:space="preserve">Suivi-Evaluation qui </w:t>
      </w:r>
      <w:r w:rsidR="00A5630C">
        <w:rPr>
          <w:rFonts w:ascii="Times New Roman" w:hAnsi="Times New Roman" w:cs="Times New Roman"/>
        </w:rPr>
        <w:t xml:space="preserve">sera coaché par le RSE du SAMEF. </w:t>
      </w:r>
      <w:r w:rsidR="00FE012B">
        <w:rPr>
          <w:rFonts w:ascii="Times New Roman" w:hAnsi="Times New Roman" w:cs="Times New Roman"/>
        </w:rPr>
        <w:t xml:space="preserve">Le recrutement du comptable est en phase de finalisation le classement est fait et il ne reste que les négociations. </w:t>
      </w:r>
      <w:r w:rsidR="00A82BCF">
        <w:rPr>
          <w:rFonts w:ascii="Times New Roman" w:hAnsi="Times New Roman" w:cs="Times New Roman"/>
        </w:rPr>
        <w:t>L</w:t>
      </w:r>
      <w:r w:rsidR="00903221">
        <w:rPr>
          <w:rFonts w:ascii="Times New Roman" w:hAnsi="Times New Roman" w:cs="Times New Roman"/>
        </w:rPr>
        <w:t>e comptable travaillera sous la supervision du comptable du SAMEF qui a assuré jusqu’à présent la comptabilité et le financement des trois CEA.</w:t>
      </w:r>
      <w:r w:rsidR="00417774">
        <w:rPr>
          <w:rFonts w:ascii="Times New Roman" w:hAnsi="Times New Roman" w:cs="Times New Roman"/>
        </w:rPr>
        <w:t xml:space="preserve"> </w:t>
      </w:r>
      <w:r w:rsidR="00FE012B">
        <w:rPr>
          <w:rFonts w:ascii="Times New Roman" w:hAnsi="Times New Roman" w:cs="Times New Roman"/>
        </w:rPr>
        <w:t xml:space="preserve">Le renforcement des capacités du RSE à l’utilisation de l’outil MSPROJECT permettra une meilleure efficience en la matière. </w:t>
      </w:r>
      <w:r w:rsidR="00417774">
        <w:rPr>
          <w:rFonts w:ascii="Times New Roman" w:hAnsi="Times New Roman" w:cs="Times New Roman"/>
        </w:rPr>
        <w:t>L</w:t>
      </w:r>
      <w:r w:rsidR="00F12340">
        <w:rPr>
          <w:rFonts w:ascii="Times New Roman" w:hAnsi="Times New Roman" w:cs="Times New Roman"/>
        </w:rPr>
        <w:t xml:space="preserve">a masse salariale </w:t>
      </w:r>
      <w:r w:rsidR="00417774">
        <w:rPr>
          <w:rFonts w:ascii="Times New Roman" w:hAnsi="Times New Roman" w:cs="Times New Roman"/>
        </w:rPr>
        <w:t xml:space="preserve">dédié à ce personnel est estimé à </w:t>
      </w:r>
      <w:r w:rsidR="00F12340">
        <w:rPr>
          <w:rFonts w:ascii="Times New Roman" w:hAnsi="Times New Roman" w:cs="Times New Roman"/>
        </w:rPr>
        <w:t>13</w:t>
      </w:r>
      <w:r w:rsidR="00417774">
        <w:rPr>
          <w:rFonts w:ascii="Times New Roman" w:hAnsi="Times New Roman" w:cs="Times New Roman"/>
        </w:rPr>
        <w:t xml:space="preserve"> millions </w:t>
      </w:r>
      <w:r w:rsidR="00F12340">
        <w:rPr>
          <w:rFonts w:ascii="Times New Roman" w:hAnsi="Times New Roman" w:cs="Times New Roman"/>
        </w:rPr>
        <w:t>de frs CFA par année</w:t>
      </w:r>
      <w:r w:rsidR="00FE012B">
        <w:rPr>
          <w:rFonts w:ascii="Times New Roman" w:hAnsi="Times New Roman" w:cs="Times New Roman"/>
        </w:rPr>
        <w:t>.</w:t>
      </w:r>
    </w:p>
    <w:p w14:paraId="39054852" w14:textId="18440777" w:rsidR="009C7E30" w:rsidRDefault="009C7E30" w:rsidP="009D11E8">
      <w:pPr>
        <w:spacing w:line="276" w:lineRule="auto"/>
        <w:jc w:val="both"/>
        <w:rPr>
          <w:rFonts w:ascii="Times New Roman" w:hAnsi="Times New Roman" w:cs="Times New Roman"/>
        </w:rPr>
      </w:pPr>
    </w:p>
    <w:p w14:paraId="04DF27B7" w14:textId="060B6E7C" w:rsidR="009C7E30" w:rsidRPr="00BF13A3" w:rsidRDefault="007730A4" w:rsidP="009D11E8">
      <w:pPr>
        <w:spacing w:line="276" w:lineRule="auto"/>
        <w:jc w:val="both"/>
        <w:rPr>
          <w:rFonts w:ascii="Times New Roman" w:hAnsi="Times New Roman" w:cs="Times New Roman"/>
          <w:b/>
          <w:bCs/>
        </w:rPr>
      </w:pPr>
      <w:r w:rsidRPr="00BF13A3">
        <w:rPr>
          <w:rFonts w:ascii="Times New Roman" w:hAnsi="Times New Roman" w:cs="Times New Roman"/>
          <w:b/>
          <w:bCs/>
        </w:rPr>
        <w:t>Le</w:t>
      </w:r>
      <w:r>
        <w:rPr>
          <w:rFonts w:ascii="Times New Roman" w:hAnsi="Times New Roman" w:cs="Times New Roman"/>
          <w:b/>
          <w:bCs/>
        </w:rPr>
        <w:t>s engagements de</w:t>
      </w:r>
      <w:r w:rsidRPr="00BF13A3">
        <w:rPr>
          <w:rFonts w:ascii="Times New Roman" w:hAnsi="Times New Roman" w:cs="Times New Roman"/>
          <w:b/>
          <w:bCs/>
        </w:rPr>
        <w:t xml:space="preserve"> financement des projets de recherche</w:t>
      </w:r>
    </w:p>
    <w:p w14:paraId="19E98623" w14:textId="4D742FE9" w:rsidR="009C7E30" w:rsidRDefault="009C7E30" w:rsidP="009D11E8">
      <w:pPr>
        <w:spacing w:line="276" w:lineRule="auto"/>
        <w:jc w:val="both"/>
        <w:rPr>
          <w:rFonts w:ascii="Times New Roman" w:hAnsi="Times New Roman" w:cs="Times New Roman"/>
        </w:rPr>
      </w:pPr>
      <w:r>
        <w:rPr>
          <w:rFonts w:ascii="Times New Roman" w:hAnsi="Times New Roman" w:cs="Times New Roman"/>
        </w:rPr>
        <w:t xml:space="preserve">Dans le programme des dépenses </w:t>
      </w:r>
      <w:r w:rsidR="00440E7D">
        <w:rPr>
          <w:rFonts w:ascii="Times New Roman" w:hAnsi="Times New Roman" w:cs="Times New Roman"/>
        </w:rPr>
        <w:t>é</w:t>
      </w:r>
      <w:r>
        <w:rPr>
          <w:rFonts w:ascii="Times New Roman" w:hAnsi="Times New Roman" w:cs="Times New Roman"/>
        </w:rPr>
        <w:t>ligi</w:t>
      </w:r>
      <w:r w:rsidR="00440E7D">
        <w:rPr>
          <w:rFonts w:ascii="Times New Roman" w:hAnsi="Times New Roman" w:cs="Times New Roman"/>
        </w:rPr>
        <w:t>bles</w:t>
      </w:r>
      <w:r w:rsidR="00E86F54">
        <w:rPr>
          <w:rFonts w:ascii="Times New Roman" w:hAnsi="Times New Roman" w:cs="Times New Roman"/>
        </w:rPr>
        <w:t>,</w:t>
      </w:r>
      <w:r w:rsidR="00440E7D">
        <w:rPr>
          <w:rFonts w:ascii="Times New Roman" w:hAnsi="Times New Roman" w:cs="Times New Roman"/>
        </w:rPr>
        <w:t xml:space="preserve"> le CEA AGRISAN, à travers son comité scientifique a inscrit dans son budget, le financement de </w:t>
      </w:r>
      <w:r w:rsidR="00E86F54">
        <w:rPr>
          <w:rFonts w:ascii="Times New Roman" w:hAnsi="Times New Roman" w:cs="Times New Roman"/>
        </w:rPr>
        <w:t xml:space="preserve">neuf (9) </w:t>
      </w:r>
      <w:r w:rsidR="00440E7D">
        <w:rPr>
          <w:rFonts w:ascii="Times New Roman" w:hAnsi="Times New Roman" w:cs="Times New Roman"/>
        </w:rPr>
        <w:t>sous</w:t>
      </w:r>
      <w:r w:rsidR="00E86F54">
        <w:rPr>
          <w:rFonts w:ascii="Times New Roman" w:hAnsi="Times New Roman" w:cs="Times New Roman"/>
        </w:rPr>
        <w:t>-</w:t>
      </w:r>
      <w:r w:rsidR="00440E7D">
        <w:rPr>
          <w:rFonts w:ascii="Times New Roman" w:hAnsi="Times New Roman" w:cs="Times New Roman"/>
        </w:rPr>
        <w:t>projet</w:t>
      </w:r>
      <w:r w:rsidR="003702D5">
        <w:rPr>
          <w:rFonts w:ascii="Times New Roman" w:hAnsi="Times New Roman" w:cs="Times New Roman"/>
        </w:rPr>
        <w:t>s</w:t>
      </w:r>
      <w:r w:rsidR="00440E7D">
        <w:rPr>
          <w:rFonts w:ascii="Times New Roman" w:hAnsi="Times New Roman" w:cs="Times New Roman"/>
        </w:rPr>
        <w:t xml:space="preserve"> de recherche</w:t>
      </w:r>
      <w:r w:rsidR="00E86F54">
        <w:rPr>
          <w:rFonts w:ascii="Times New Roman" w:hAnsi="Times New Roman" w:cs="Times New Roman"/>
        </w:rPr>
        <w:t xml:space="preserve"> pour un montant total de </w:t>
      </w:r>
      <w:r w:rsidR="00F12340">
        <w:rPr>
          <w:rFonts w:ascii="Times New Roman" w:hAnsi="Times New Roman" w:cs="Times New Roman"/>
        </w:rPr>
        <w:t>224</w:t>
      </w:r>
      <w:r w:rsidR="00E86F54">
        <w:rPr>
          <w:rFonts w:ascii="Times New Roman" w:hAnsi="Times New Roman" w:cs="Times New Roman"/>
        </w:rPr>
        <w:t xml:space="preserve"> millions</w:t>
      </w:r>
      <w:r w:rsidR="00440E7D" w:rsidRPr="00F12340">
        <w:rPr>
          <w:rFonts w:ascii="Times New Roman" w:hAnsi="Times New Roman" w:cs="Times New Roman"/>
        </w:rPr>
        <w:t>.</w:t>
      </w:r>
      <w:r w:rsidR="00440E7D">
        <w:rPr>
          <w:rFonts w:ascii="Times New Roman" w:hAnsi="Times New Roman" w:cs="Times New Roman"/>
        </w:rPr>
        <w:t xml:space="preserve"> Dans ce cadre, des appels à projet ont été lancé</w:t>
      </w:r>
      <w:r w:rsidR="00E86F54">
        <w:rPr>
          <w:rFonts w:ascii="Times New Roman" w:hAnsi="Times New Roman" w:cs="Times New Roman"/>
        </w:rPr>
        <w:t>s</w:t>
      </w:r>
      <w:r w:rsidR="00440E7D">
        <w:rPr>
          <w:rFonts w:ascii="Times New Roman" w:hAnsi="Times New Roman" w:cs="Times New Roman"/>
        </w:rPr>
        <w:t xml:space="preserve"> en 2021, les procédures de sélection (transparente) ont été suivies</w:t>
      </w:r>
      <w:r w:rsidR="00E86F54">
        <w:rPr>
          <w:rFonts w:ascii="Times New Roman" w:hAnsi="Times New Roman" w:cs="Times New Roman"/>
        </w:rPr>
        <w:t xml:space="preserve"> et exécutées par un comité indépendant</w:t>
      </w:r>
      <w:r w:rsidR="00440E7D">
        <w:rPr>
          <w:rFonts w:ascii="Times New Roman" w:hAnsi="Times New Roman" w:cs="Times New Roman"/>
        </w:rPr>
        <w:t xml:space="preserve">. </w:t>
      </w:r>
      <w:r w:rsidR="00E86F54">
        <w:rPr>
          <w:rFonts w:ascii="Times New Roman" w:hAnsi="Times New Roman" w:cs="Times New Roman"/>
        </w:rPr>
        <w:t>L</w:t>
      </w:r>
      <w:r w:rsidR="00440E7D">
        <w:rPr>
          <w:rFonts w:ascii="Times New Roman" w:hAnsi="Times New Roman" w:cs="Times New Roman"/>
        </w:rPr>
        <w:t xml:space="preserve">es contrats sont signées avec les porteurs de projets. Nous sommes en discussion pour finaliser </w:t>
      </w:r>
      <w:r w:rsidR="007730A4">
        <w:rPr>
          <w:rFonts w:ascii="Times New Roman" w:hAnsi="Times New Roman" w:cs="Times New Roman"/>
        </w:rPr>
        <w:t>au plu</w:t>
      </w:r>
      <w:r w:rsidR="00FE012B">
        <w:rPr>
          <w:rFonts w:ascii="Times New Roman" w:hAnsi="Times New Roman" w:cs="Times New Roman"/>
        </w:rPr>
        <w:t xml:space="preserve">s </w:t>
      </w:r>
      <w:r w:rsidR="007730A4">
        <w:rPr>
          <w:rFonts w:ascii="Times New Roman" w:hAnsi="Times New Roman" w:cs="Times New Roman"/>
        </w:rPr>
        <w:t>tard le 31 mai 2022, l</w:t>
      </w:r>
      <w:r w:rsidR="00440E7D">
        <w:rPr>
          <w:rFonts w:ascii="Times New Roman" w:hAnsi="Times New Roman" w:cs="Times New Roman"/>
        </w:rPr>
        <w:t xml:space="preserve">es procédures de mise à disposition des financements. </w:t>
      </w:r>
      <w:r w:rsidR="00E86F54">
        <w:rPr>
          <w:rFonts w:ascii="Times New Roman" w:hAnsi="Times New Roman" w:cs="Times New Roman"/>
        </w:rPr>
        <w:t>La finalisation du processus permettra d’avancer sur le niveau des dépenses</w:t>
      </w:r>
      <w:r w:rsidR="007730A4">
        <w:rPr>
          <w:rFonts w:ascii="Times New Roman" w:hAnsi="Times New Roman" w:cs="Times New Roman"/>
        </w:rPr>
        <w:t>.</w:t>
      </w:r>
    </w:p>
    <w:p w14:paraId="75251088" w14:textId="39F28A45" w:rsidR="007730A4" w:rsidRDefault="007730A4" w:rsidP="009D11E8">
      <w:pPr>
        <w:spacing w:line="276" w:lineRule="auto"/>
        <w:jc w:val="both"/>
        <w:rPr>
          <w:rFonts w:ascii="Times New Roman" w:hAnsi="Times New Roman" w:cs="Times New Roman"/>
        </w:rPr>
      </w:pPr>
    </w:p>
    <w:p w14:paraId="0B5AEC3F" w14:textId="33B72304" w:rsidR="007730A4" w:rsidRPr="000B3547" w:rsidRDefault="007730A4" w:rsidP="009D11E8">
      <w:pPr>
        <w:spacing w:line="276" w:lineRule="auto"/>
        <w:jc w:val="both"/>
        <w:rPr>
          <w:rFonts w:ascii="Times New Roman" w:hAnsi="Times New Roman" w:cs="Times New Roman"/>
          <w:b/>
          <w:bCs/>
        </w:rPr>
      </w:pPr>
      <w:r w:rsidRPr="000B3547">
        <w:rPr>
          <w:rFonts w:ascii="Times New Roman" w:hAnsi="Times New Roman" w:cs="Times New Roman"/>
          <w:b/>
          <w:bCs/>
        </w:rPr>
        <w:lastRenderedPageBreak/>
        <w:t>Le</w:t>
      </w:r>
      <w:r>
        <w:rPr>
          <w:rFonts w:ascii="Times New Roman" w:hAnsi="Times New Roman" w:cs="Times New Roman"/>
          <w:b/>
          <w:bCs/>
        </w:rPr>
        <w:t>s engagements de</w:t>
      </w:r>
      <w:r w:rsidRPr="000B3547">
        <w:rPr>
          <w:rFonts w:ascii="Times New Roman" w:hAnsi="Times New Roman" w:cs="Times New Roman"/>
          <w:b/>
          <w:bCs/>
        </w:rPr>
        <w:t xml:space="preserve"> financement des </w:t>
      </w:r>
      <w:r>
        <w:rPr>
          <w:rFonts w:ascii="Times New Roman" w:hAnsi="Times New Roman" w:cs="Times New Roman"/>
          <w:b/>
          <w:bCs/>
        </w:rPr>
        <w:t>frais relatifs aux processus et procédures d’accréditation</w:t>
      </w:r>
    </w:p>
    <w:p w14:paraId="28AF5EE5" w14:textId="3A41246F" w:rsidR="007730A4" w:rsidRDefault="007730A4" w:rsidP="009D11E8">
      <w:pPr>
        <w:spacing w:line="276" w:lineRule="auto"/>
        <w:jc w:val="both"/>
        <w:rPr>
          <w:rFonts w:ascii="Times New Roman" w:hAnsi="Times New Roman" w:cs="Times New Roman"/>
        </w:rPr>
      </w:pPr>
      <w:r>
        <w:rPr>
          <w:rFonts w:ascii="Times New Roman" w:hAnsi="Times New Roman" w:cs="Times New Roman"/>
        </w:rPr>
        <w:t xml:space="preserve">Six formations </w:t>
      </w:r>
      <w:r w:rsidR="00D83A8C">
        <w:rPr>
          <w:rFonts w:ascii="Times New Roman" w:hAnsi="Times New Roman" w:cs="Times New Roman"/>
        </w:rPr>
        <w:t>en Master et PhD ainsi que 4 formations en licences professionnel</w:t>
      </w:r>
      <w:r w:rsidR="003702D5">
        <w:rPr>
          <w:rFonts w:ascii="Times New Roman" w:hAnsi="Times New Roman" w:cs="Times New Roman"/>
        </w:rPr>
        <w:t>le</w:t>
      </w:r>
      <w:r w:rsidR="00D83A8C">
        <w:rPr>
          <w:rFonts w:ascii="Times New Roman" w:hAnsi="Times New Roman" w:cs="Times New Roman"/>
        </w:rPr>
        <w:t>s o</w:t>
      </w:r>
      <w:r>
        <w:rPr>
          <w:rFonts w:ascii="Times New Roman" w:hAnsi="Times New Roman" w:cs="Times New Roman"/>
        </w:rPr>
        <w:t xml:space="preserve">nt été élues et seront portées pour l’accréditation par l’ANAQ-sup. Un montant de </w:t>
      </w:r>
      <w:r w:rsidR="009F707E">
        <w:rPr>
          <w:rFonts w:ascii="Times New Roman" w:hAnsi="Times New Roman" w:cs="Times New Roman"/>
        </w:rPr>
        <w:t>68</w:t>
      </w:r>
      <w:r>
        <w:rPr>
          <w:rFonts w:ascii="Times New Roman" w:hAnsi="Times New Roman" w:cs="Times New Roman"/>
        </w:rPr>
        <w:t xml:space="preserve"> millions</w:t>
      </w:r>
      <w:r w:rsidR="0096056E">
        <w:rPr>
          <w:rFonts w:ascii="Times New Roman" w:hAnsi="Times New Roman" w:cs="Times New Roman"/>
        </w:rPr>
        <w:t xml:space="preserve"> </w:t>
      </w:r>
      <w:r>
        <w:rPr>
          <w:rFonts w:ascii="Times New Roman" w:hAnsi="Times New Roman" w:cs="Times New Roman"/>
        </w:rPr>
        <w:t xml:space="preserve">a été dégagé pour organiser des ateliers </w:t>
      </w:r>
      <w:r w:rsidR="00592709">
        <w:rPr>
          <w:rFonts w:ascii="Times New Roman" w:hAnsi="Times New Roman" w:cs="Times New Roman"/>
        </w:rPr>
        <w:t>de collecte de données et d’élaboration des rapports d’autoévaluation, à l’attention des membres des CIAQ et des comités de pilotage. Dans la philosophie de CEA et dans l’esprit de portage interinstitutionnel</w:t>
      </w:r>
      <w:r w:rsidR="002B5E84">
        <w:rPr>
          <w:rFonts w:ascii="Times New Roman" w:hAnsi="Times New Roman" w:cs="Times New Roman"/>
        </w:rPr>
        <w:t>.</w:t>
      </w:r>
    </w:p>
    <w:p w14:paraId="3D919D83" w14:textId="4FA5416B" w:rsidR="00592709" w:rsidRDefault="00592709" w:rsidP="009D11E8">
      <w:pPr>
        <w:spacing w:line="276" w:lineRule="auto"/>
        <w:jc w:val="both"/>
        <w:rPr>
          <w:rFonts w:ascii="Times New Roman" w:hAnsi="Times New Roman" w:cs="Times New Roman"/>
        </w:rPr>
      </w:pPr>
    </w:p>
    <w:p w14:paraId="11CB75D3" w14:textId="61942E8D" w:rsidR="00592709" w:rsidRPr="00BF13A3" w:rsidRDefault="00592709" w:rsidP="009D11E8">
      <w:pPr>
        <w:spacing w:line="276" w:lineRule="auto"/>
        <w:jc w:val="both"/>
        <w:rPr>
          <w:rFonts w:ascii="Times New Roman" w:hAnsi="Times New Roman" w:cs="Times New Roman"/>
          <w:b/>
          <w:bCs/>
        </w:rPr>
      </w:pPr>
      <w:r w:rsidRPr="00BF13A3">
        <w:rPr>
          <w:rFonts w:ascii="Times New Roman" w:hAnsi="Times New Roman" w:cs="Times New Roman"/>
          <w:b/>
          <w:bCs/>
        </w:rPr>
        <w:t>Les engagements aux aides financières pour les étudiants</w:t>
      </w:r>
    </w:p>
    <w:p w14:paraId="0CCAB855" w14:textId="0A294F10" w:rsidR="00592709" w:rsidRDefault="00592709" w:rsidP="009D11E8">
      <w:pPr>
        <w:spacing w:line="276" w:lineRule="auto"/>
        <w:jc w:val="both"/>
        <w:rPr>
          <w:rFonts w:ascii="Times New Roman" w:hAnsi="Times New Roman" w:cs="Times New Roman"/>
        </w:rPr>
      </w:pPr>
      <w:r>
        <w:rPr>
          <w:rFonts w:ascii="Times New Roman" w:hAnsi="Times New Roman" w:cs="Times New Roman"/>
        </w:rPr>
        <w:t>Un montant d</w:t>
      </w:r>
      <w:r w:rsidR="007C45B2">
        <w:rPr>
          <w:rFonts w:ascii="Times New Roman" w:hAnsi="Times New Roman" w:cs="Times New Roman"/>
        </w:rPr>
        <w:t>’environ 25 millions est dégagé pour octroyer des aides aux étudiants en doctorats et en master mais aussi pour l’incitation pour les stages ruraux. La liste des étudiants est disponible et les ayant droit recevront leur virement au plu</w:t>
      </w:r>
      <w:r w:rsidR="00FE012B">
        <w:rPr>
          <w:rFonts w:ascii="Times New Roman" w:hAnsi="Times New Roman" w:cs="Times New Roman"/>
        </w:rPr>
        <w:t xml:space="preserve">s </w:t>
      </w:r>
      <w:r w:rsidR="007C45B2">
        <w:rPr>
          <w:rFonts w:ascii="Times New Roman" w:hAnsi="Times New Roman" w:cs="Times New Roman"/>
        </w:rPr>
        <w:t>tard le 15 juin 2022.</w:t>
      </w:r>
    </w:p>
    <w:p w14:paraId="10DD7822" w14:textId="02829BC3" w:rsidR="00BF13A3" w:rsidRDefault="00BF13A3" w:rsidP="009D11E8">
      <w:pPr>
        <w:spacing w:line="276" w:lineRule="auto"/>
        <w:jc w:val="both"/>
        <w:rPr>
          <w:rFonts w:ascii="Times New Roman" w:hAnsi="Times New Roman" w:cs="Times New Roman"/>
        </w:rPr>
      </w:pPr>
    </w:p>
    <w:p w14:paraId="206311AC" w14:textId="77777777" w:rsidR="005B724B" w:rsidRDefault="005B724B" w:rsidP="009D11E8">
      <w:pPr>
        <w:spacing w:line="276" w:lineRule="auto"/>
        <w:jc w:val="both"/>
        <w:rPr>
          <w:rFonts w:ascii="Times New Roman" w:hAnsi="Times New Roman" w:cs="Times New Roman"/>
          <w:b/>
          <w:bCs/>
        </w:rPr>
      </w:pPr>
    </w:p>
    <w:p w14:paraId="679E3505" w14:textId="70F75A2C" w:rsidR="00974A64" w:rsidRPr="004D7895" w:rsidRDefault="00D55681" w:rsidP="009D11E8">
      <w:pPr>
        <w:pStyle w:val="Titre1"/>
        <w:numPr>
          <w:ilvl w:val="0"/>
          <w:numId w:val="8"/>
        </w:numPr>
        <w:spacing w:line="276" w:lineRule="auto"/>
        <w:ind w:left="426" w:hanging="371"/>
        <w:rPr>
          <w:rFonts w:asciiTheme="minorHAnsi" w:hAnsiTheme="minorHAnsi" w:cstheme="minorHAnsi"/>
          <w:b/>
          <w:bCs/>
          <w:color w:val="000000" w:themeColor="text1"/>
          <w:sz w:val="28"/>
          <w:szCs w:val="24"/>
        </w:rPr>
      </w:pPr>
      <w:bookmarkStart w:id="27" w:name="_Toc102897391"/>
      <w:bookmarkStart w:id="28" w:name="_Toc102897606"/>
      <w:bookmarkStart w:id="29" w:name="_Toc102897667"/>
      <w:bookmarkStart w:id="30" w:name="_Toc102897745"/>
      <w:bookmarkStart w:id="31" w:name="_Toc102898057"/>
      <w:bookmarkStart w:id="32" w:name="_Toc102898106"/>
      <w:bookmarkStart w:id="33" w:name="_Toc102898163"/>
      <w:bookmarkStart w:id="34" w:name="_Toc102898210"/>
      <w:bookmarkStart w:id="35" w:name="_Toc103006575"/>
      <w:r w:rsidRPr="00D55681">
        <w:rPr>
          <w:rFonts w:asciiTheme="minorHAnsi" w:hAnsiTheme="minorHAnsi" w:cstheme="minorHAnsi"/>
          <w:b/>
          <w:bCs/>
          <w:color w:val="000000" w:themeColor="text1"/>
          <w:sz w:val="28"/>
          <w:szCs w:val="24"/>
        </w:rPr>
        <w:t xml:space="preserve">PLANS D’ACCÉLÉRATION DES ACTIVITÉS DE DÉCAISSEMENT </w:t>
      </w:r>
      <w:r w:rsidR="00857B8C">
        <w:rPr>
          <w:rFonts w:asciiTheme="minorHAnsi" w:hAnsiTheme="minorHAnsi" w:cstheme="minorHAnsi"/>
          <w:b/>
          <w:bCs/>
          <w:color w:val="000000" w:themeColor="text1"/>
          <w:sz w:val="28"/>
          <w:szCs w:val="24"/>
        </w:rPr>
        <w:t xml:space="preserve">(ILD) </w:t>
      </w:r>
      <w:r w:rsidRPr="00D55681">
        <w:rPr>
          <w:rFonts w:asciiTheme="minorHAnsi" w:hAnsiTheme="minorHAnsi" w:cstheme="minorHAnsi"/>
          <w:b/>
          <w:bCs/>
          <w:color w:val="000000" w:themeColor="text1"/>
          <w:sz w:val="28"/>
          <w:szCs w:val="24"/>
        </w:rPr>
        <w:t>ET DES DÉPENSES</w:t>
      </w:r>
      <w:bookmarkEnd w:id="27"/>
      <w:bookmarkEnd w:id="28"/>
      <w:bookmarkEnd w:id="29"/>
      <w:bookmarkEnd w:id="30"/>
      <w:bookmarkEnd w:id="31"/>
      <w:bookmarkEnd w:id="32"/>
      <w:bookmarkEnd w:id="33"/>
      <w:bookmarkEnd w:id="34"/>
      <w:bookmarkEnd w:id="35"/>
    </w:p>
    <w:p w14:paraId="68B17C7A" w14:textId="77777777" w:rsidR="00D55681" w:rsidRPr="004D7895" w:rsidRDefault="00D55681" w:rsidP="004D7895"/>
    <w:p w14:paraId="2A3044A9" w14:textId="3D55DB79" w:rsidR="00974A64" w:rsidRDefault="00974A64" w:rsidP="009D11E8">
      <w:pPr>
        <w:spacing w:line="276" w:lineRule="auto"/>
        <w:jc w:val="both"/>
        <w:rPr>
          <w:rFonts w:cs="Calibri"/>
          <w:color w:val="000000"/>
        </w:rPr>
      </w:pPr>
      <w:r w:rsidRPr="0063361B">
        <w:rPr>
          <w:rFonts w:cs="Calibri"/>
          <w:color w:val="000000"/>
        </w:rPr>
        <w:t>Le</w:t>
      </w:r>
      <w:r w:rsidR="0063361B">
        <w:rPr>
          <w:rFonts w:cs="Calibri"/>
          <w:color w:val="000000"/>
        </w:rPr>
        <w:t xml:space="preserve"> narratif </w:t>
      </w:r>
      <w:r w:rsidRPr="0063361B">
        <w:rPr>
          <w:rFonts w:cs="Calibri"/>
          <w:color w:val="000000"/>
        </w:rPr>
        <w:t>d</w:t>
      </w:r>
      <w:r w:rsidR="0063361B">
        <w:rPr>
          <w:rFonts w:cs="Calibri"/>
          <w:color w:val="000000"/>
        </w:rPr>
        <w:t>é</w:t>
      </w:r>
      <w:r w:rsidRPr="0063361B">
        <w:rPr>
          <w:rFonts w:cs="Calibri"/>
          <w:color w:val="000000"/>
        </w:rPr>
        <w:t>cri</w:t>
      </w:r>
      <w:r w:rsidR="0063361B">
        <w:rPr>
          <w:rFonts w:cs="Calibri"/>
          <w:color w:val="000000"/>
        </w:rPr>
        <w:t>vant</w:t>
      </w:r>
      <w:r w:rsidRPr="0063361B">
        <w:rPr>
          <w:rFonts w:cs="Calibri"/>
          <w:color w:val="000000"/>
        </w:rPr>
        <w:t xml:space="preserve"> les points d’intervention pour l’accélération est soutenu par le plan d’action concern</w:t>
      </w:r>
      <w:r w:rsidR="0063361B">
        <w:rPr>
          <w:rFonts w:cs="Calibri"/>
          <w:color w:val="000000"/>
        </w:rPr>
        <w:t>a</w:t>
      </w:r>
      <w:r w:rsidRPr="0063361B">
        <w:rPr>
          <w:rFonts w:cs="Calibri"/>
          <w:color w:val="000000"/>
        </w:rPr>
        <w:t xml:space="preserve">nt les indicateurs liés au décaissement et le plan d’exécution budgétaires. Ces deux plans </w:t>
      </w:r>
      <w:r w:rsidR="0063361B">
        <w:rPr>
          <w:rFonts w:cs="Calibri"/>
          <w:color w:val="000000"/>
        </w:rPr>
        <w:t xml:space="preserve">sont </w:t>
      </w:r>
      <w:r w:rsidRPr="0063361B">
        <w:rPr>
          <w:rFonts w:cs="Calibri"/>
          <w:color w:val="000000"/>
        </w:rPr>
        <w:t xml:space="preserve">présentés sous forme de tableaux qui </w:t>
      </w:r>
      <w:proofErr w:type="spellStart"/>
      <w:r w:rsidRPr="0063361B">
        <w:rPr>
          <w:rFonts w:cs="Calibri"/>
          <w:color w:val="000000"/>
        </w:rPr>
        <w:t>int</w:t>
      </w:r>
      <w:r w:rsidR="0063361B">
        <w:rPr>
          <w:rFonts w:cs="Calibri"/>
          <w:color w:val="000000"/>
        </w:rPr>
        <w:t>é</w:t>
      </w:r>
      <w:r w:rsidRPr="0063361B">
        <w:rPr>
          <w:rFonts w:cs="Calibri"/>
          <w:color w:val="000000"/>
        </w:rPr>
        <w:t>grent</w:t>
      </w:r>
      <w:proofErr w:type="spellEnd"/>
      <w:r w:rsidRPr="0063361B">
        <w:rPr>
          <w:rFonts w:cs="Calibri"/>
          <w:color w:val="000000"/>
        </w:rPr>
        <w:t xml:space="preserve"> les mesures d’accélération, les délais d’exécution et les coûts estimatifs.</w:t>
      </w:r>
    </w:p>
    <w:p w14:paraId="11878BA4" w14:textId="77777777" w:rsidR="009D11E8" w:rsidRDefault="009D11E8" w:rsidP="009D11E8">
      <w:pPr>
        <w:spacing w:line="276" w:lineRule="auto"/>
        <w:jc w:val="both"/>
        <w:rPr>
          <w:rFonts w:cs="Calibri"/>
          <w:color w:val="000000"/>
        </w:rPr>
      </w:pPr>
    </w:p>
    <w:p w14:paraId="21D17DB0" w14:textId="13A9A5FD" w:rsidR="0063361B" w:rsidRDefault="0063361B" w:rsidP="00BF13A3">
      <w:pPr>
        <w:jc w:val="both"/>
        <w:rPr>
          <w:rFonts w:cs="Calibri"/>
          <w:color w:val="000000"/>
        </w:rPr>
      </w:pPr>
    </w:p>
    <w:p w14:paraId="1873E4AF" w14:textId="77777777" w:rsidR="009D11E8" w:rsidRDefault="009D11E8" w:rsidP="00BF13A3">
      <w:pPr>
        <w:jc w:val="both"/>
        <w:rPr>
          <w:rFonts w:cs="Calibri"/>
          <w:color w:val="000000"/>
          <w:lang w:val="fr-FR"/>
        </w:rPr>
        <w:sectPr w:rsidR="009D11E8" w:rsidSect="00BF13A3">
          <w:pgSz w:w="11900" w:h="16840"/>
          <w:pgMar w:top="1417" w:right="1417" w:bottom="1417" w:left="1417" w:header="708" w:footer="708" w:gutter="0"/>
          <w:pgNumType w:start="0"/>
          <w:cols w:space="708"/>
          <w:titlePg/>
          <w:docGrid w:linePitch="360"/>
        </w:sectPr>
      </w:pPr>
    </w:p>
    <w:p w14:paraId="15247C8F" w14:textId="7B609A96" w:rsidR="00B00643" w:rsidRPr="003F4B70" w:rsidRDefault="0046470A" w:rsidP="00833E36">
      <w:bookmarkStart w:id="36" w:name="_Toc102897392"/>
      <w:bookmarkStart w:id="37" w:name="_Toc102897607"/>
      <w:bookmarkStart w:id="38" w:name="_Toc102897668"/>
      <w:bookmarkStart w:id="39" w:name="_Toc102897746"/>
      <w:bookmarkStart w:id="40" w:name="_Toc102898058"/>
      <w:bookmarkStart w:id="41" w:name="_Toc102898107"/>
      <w:bookmarkStart w:id="42" w:name="_Toc102898164"/>
      <w:bookmarkStart w:id="43" w:name="_Toc102898211"/>
      <w:r>
        <w:lastRenderedPageBreak/>
        <w:t xml:space="preserve">IV.1). </w:t>
      </w:r>
      <w:bookmarkEnd w:id="36"/>
      <w:bookmarkEnd w:id="37"/>
      <w:bookmarkEnd w:id="38"/>
      <w:bookmarkEnd w:id="39"/>
      <w:bookmarkEnd w:id="40"/>
      <w:bookmarkEnd w:id="41"/>
      <w:bookmarkEnd w:id="42"/>
      <w:bookmarkEnd w:id="43"/>
      <w:r w:rsidR="003F4B70" w:rsidRPr="003F4B70">
        <w:t>PLAN DE MISE EN OEUVRE ET MESURES D’ACCÉLÉRATION</w:t>
      </w:r>
      <w:r w:rsidR="00444CB7">
        <w:t xml:space="preserve"> DES DEPENSES</w:t>
      </w:r>
    </w:p>
    <w:p w14:paraId="604134A0" w14:textId="67D40C1E" w:rsidR="003F4B70" w:rsidRDefault="003F4B70" w:rsidP="00BF13A3">
      <w:pPr>
        <w:jc w:val="both"/>
        <w:rPr>
          <w:rFonts w:cs="Calibri"/>
          <w:color w:val="000000"/>
          <w:highlight w:val="yellow"/>
        </w:rPr>
      </w:pPr>
    </w:p>
    <w:p w14:paraId="713819BF" w14:textId="5C2A09A7" w:rsidR="000732C9" w:rsidRDefault="00725C00" w:rsidP="000732C9">
      <w:pPr>
        <w:spacing w:before="120"/>
        <w:jc w:val="both"/>
        <w:rPr>
          <w:rFonts w:cs="Calibri"/>
          <w:color w:val="000000"/>
        </w:rPr>
      </w:pPr>
      <w:r>
        <w:rPr>
          <w:rFonts w:cs="Calibri"/>
          <w:color w:val="000000"/>
        </w:rPr>
        <w:t xml:space="preserve">Il est présenté sous forme d’un tableau (tableau 3) qui reprend globalement les plans d’action (Formation, Recherche, Partenariat, Gouvernance) et en des sous-actions et activités du PTBA ; mettant le focus sur </w:t>
      </w:r>
      <w:r w:rsidR="00A014CF">
        <w:rPr>
          <w:rFonts w:cs="Calibri"/>
          <w:color w:val="000000"/>
        </w:rPr>
        <w:t xml:space="preserve">les activités non exécutées ou faiblement exécutées du PTBA </w:t>
      </w:r>
      <w:r>
        <w:rPr>
          <w:rFonts w:cs="Calibri"/>
          <w:color w:val="000000"/>
        </w:rPr>
        <w:t xml:space="preserve">. Il </w:t>
      </w:r>
      <w:r w:rsidR="00A014CF">
        <w:rPr>
          <w:rFonts w:cs="Calibri"/>
          <w:color w:val="000000"/>
        </w:rPr>
        <w:t xml:space="preserve">en </w:t>
      </w:r>
      <w:proofErr w:type="spellStart"/>
      <w:r w:rsidR="00A014CF">
        <w:rPr>
          <w:rFonts w:cs="Calibri"/>
          <w:color w:val="000000"/>
        </w:rPr>
        <w:t>intégr</w:t>
      </w:r>
      <w:r>
        <w:rPr>
          <w:rFonts w:cs="Calibri"/>
          <w:color w:val="000000"/>
        </w:rPr>
        <w:t>e</w:t>
      </w:r>
      <w:proofErr w:type="spellEnd"/>
      <w:r w:rsidR="00A014CF">
        <w:rPr>
          <w:rFonts w:cs="Calibri"/>
          <w:color w:val="000000"/>
        </w:rPr>
        <w:t xml:space="preserve"> les points d’obstacles</w:t>
      </w:r>
      <w:r w:rsidR="00B01ADB">
        <w:rPr>
          <w:rFonts w:cs="Calibri"/>
          <w:color w:val="000000"/>
        </w:rPr>
        <w:t xml:space="preserve">, </w:t>
      </w:r>
      <w:r w:rsidR="00A014CF">
        <w:rPr>
          <w:rFonts w:cs="Calibri"/>
          <w:color w:val="000000"/>
        </w:rPr>
        <w:t>leur niveau d’</w:t>
      </w:r>
      <w:r w:rsidR="00B01ADB">
        <w:rPr>
          <w:rFonts w:cs="Calibri"/>
          <w:color w:val="000000"/>
        </w:rPr>
        <w:t>exé</w:t>
      </w:r>
      <w:r w:rsidR="00A014CF">
        <w:rPr>
          <w:rFonts w:cs="Calibri"/>
          <w:color w:val="000000"/>
        </w:rPr>
        <w:t>cution, les mesures d’acc</w:t>
      </w:r>
      <w:r w:rsidR="00B01ADB">
        <w:rPr>
          <w:rFonts w:cs="Calibri"/>
          <w:color w:val="000000"/>
        </w:rPr>
        <w:t>élé</w:t>
      </w:r>
      <w:r w:rsidR="00A014CF">
        <w:rPr>
          <w:rFonts w:cs="Calibri"/>
          <w:color w:val="000000"/>
        </w:rPr>
        <w:t xml:space="preserve">ration et les engagements à exécuter dans les deux prochains mois (juin juillet). </w:t>
      </w:r>
    </w:p>
    <w:p w14:paraId="4CE1BABB" w14:textId="53C13CE2" w:rsidR="00B12EF9" w:rsidRPr="00A014CF" w:rsidRDefault="000732C9" w:rsidP="000732C9">
      <w:pPr>
        <w:spacing w:before="120"/>
        <w:jc w:val="both"/>
        <w:rPr>
          <w:rFonts w:cs="Calibri"/>
          <w:color w:val="000000"/>
        </w:rPr>
      </w:pPr>
      <w:r>
        <w:rPr>
          <w:rFonts w:cs="Calibri"/>
          <w:color w:val="000000"/>
        </w:rPr>
        <w:t xml:space="preserve">Les coûts des activités déjà exécutées et  payées ainsi que les prévisions de dépenses </w:t>
      </w:r>
      <w:r w:rsidR="00725C00">
        <w:rPr>
          <w:rFonts w:cs="Calibri"/>
          <w:color w:val="000000"/>
        </w:rPr>
        <w:t xml:space="preserve">sur les engagements </w:t>
      </w:r>
      <w:r>
        <w:rPr>
          <w:rFonts w:cs="Calibri"/>
          <w:color w:val="000000"/>
        </w:rPr>
        <w:t>pour les deux prochains mois sont présentés au tableau 4</w:t>
      </w:r>
    </w:p>
    <w:p w14:paraId="1B99002B" w14:textId="77777777" w:rsidR="00E10B24" w:rsidRDefault="00E10B24" w:rsidP="00BF13A3">
      <w:pPr>
        <w:jc w:val="both"/>
        <w:rPr>
          <w:rFonts w:cs="Calibri"/>
          <w:color w:val="000000"/>
        </w:rPr>
      </w:pPr>
    </w:p>
    <w:tbl>
      <w:tblPr>
        <w:tblW w:w="5211" w:type="pct"/>
        <w:tblInd w:w="-130" w:type="dxa"/>
        <w:tblLayout w:type="fixed"/>
        <w:tblCellMar>
          <w:left w:w="70" w:type="dxa"/>
          <w:right w:w="70" w:type="dxa"/>
        </w:tblCellMar>
        <w:tblLook w:val="04A0" w:firstRow="1" w:lastRow="0" w:firstColumn="1" w:lastColumn="0" w:noHBand="0" w:noVBand="1"/>
      </w:tblPr>
      <w:tblGrid>
        <w:gridCol w:w="2717"/>
        <w:gridCol w:w="2866"/>
        <w:gridCol w:w="2493"/>
        <w:gridCol w:w="76"/>
        <w:gridCol w:w="3567"/>
        <w:gridCol w:w="2715"/>
        <w:gridCol w:w="161"/>
      </w:tblGrid>
      <w:tr w:rsidR="00B00643" w:rsidRPr="003702D5" w14:paraId="35CC8FC8" w14:textId="77777777" w:rsidTr="00493B25">
        <w:trPr>
          <w:gridAfter w:val="1"/>
          <w:wAfter w:w="55" w:type="pct"/>
          <w:trHeight w:val="634"/>
        </w:trPr>
        <w:tc>
          <w:tcPr>
            <w:tcW w:w="4945" w:type="pct"/>
            <w:gridSpan w:val="6"/>
            <w:tcBorders>
              <w:bottom w:val="single" w:sz="4" w:space="0" w:color="auto"/>
            </w:tcBorders>
            <w:shd w:val="clear" w:color="auto" w:fill="D9E2F3" w:themeFill="accent1" w:themeFillTint="33"/>
            <w:noWrap/>
            <w:vAlign w:val="center"/>
            <w:hideMark/>
          </w:tcPr>
          <w:p w14:paraId="5A76D229" w14:textId="0DB14955" w:rsidR="00B00643" w:rsidRPr="003702D5" w:rsidRDefault="000732C9" w:rsidP="00833E36">
            <w:pPr>
              <w:rPr>
                <w:b/>
                <w:bCs/>
                <w:sz w:val="28"/>
                <w:szCs w:val="28"/>
                <w:lang w:eastAsia="fr-FR"/>
              </w:rPr>
            </w:pPr>
            <w:r w:rsidRPr="003702D5">
              <w:rPr>
                <w:b/>
                <w:bCs/>
                <w:sz w:val="28"/>
                <w:szCs w:val="28"/>
                <w:lang w:eastAsia="fr-FR"/>
              </w:rPr>
              <w:t>Tablea</w:t>
            </w:r>
            <w:r w:rsidR="00493B25" w:rsidRPr="003702D5">
              <w:rPr>
                <w:b/>
                <w:bCs/>
                <w:sz w:val="28"/>
                <w:szCs w:val="28"/>
                <w:lang w:eastAsia="fr-FR"/>
              </w:rPr>
              <w:t>u 3 : Plans d’action, mesures d’accélération et activités  prévues</w:t>
            </w:r>
          </w:p>
          <w:p w14:paraId="1B696822" w14:textId="77777777" w:rsidR="00B00643" w:rsidRPr="003702D5" w:rsidRDefault="00B00643" w:rsidP="00833E36">
            <w:pPr>
              <w:rPr>
                <w:b/>
                <w:bCs/>
                <w:sz w:val="28"/>
                <w:szCs w:val="28"/>
                <w:lang w:eastAsia="fr-FR"/>
              </w:rPr>
            </w:pPr>
            <w:r w:rsidRPr="003702D5">
              <w:rPr>
                <w:b/>
                <w:bCs/>
                <w:sz w:val="28"/>
                <w:szCs w:val="28"/>
                <w:lang w:eastAsia="fr-FR"/>
              </w:rPr>
              <w:t> </w:t>
            </w:r>
          </w:p>
        </w:tc>
      </w:tr>
      <w:tr w:rsidR="00B00643" w:rsidRPr="002A4D17" w14:paraId="48E9CC3B" w14:textId="77777777" w:rsidTr="00493B25">
        <w:trPr>
          <w:gridAfter w:val="1"/>
          <w:wAfter w:w="55" w:type="pct"/>
          <w:trHeight w:val="687"/>
        </w:trPr>
        <w:tc>
          <w:tcPr>
            <w:tcW w:w="4945" w:type="pct"/>
            <w:gridSpan w:val="6"/>
            <w:tcBorders>
              <w:top w:val="single" w:sz="4" w:space="0" w:color="auto"/>
              <w:left w:val="single" w:sz="4" w:space="0" w:color="auto"/>
              <w:bottom w:val="single" w:sz="4" w:space="0" w:color="auto"/>
              <w:right w:val="nil"/>
            </w:tcBorders>
            <w:shd w:val="clear" w:color="000000" w:fill="9BC2E6"/>
            <w:noWrap/>
            <w:vAlign w:val="center"/>
          </w:tcPr>
          <w:p w14:paraId="03B4C4AD" w14:textId="556A45A1" w:rsidR="00B00643" w:rsidRPr="002A4D17" w:rsidRDefault="00625ECE" w:rsidP="008D7A30">
            <w:pPr>
              <w:rPr>
                <w:rFonts w:ascii="Times New Roman" w:eastAsia="Times New Roman" w:hAnsi="Times New Roman" w:cs="Times New Roman"/>
                <w:sz w:val="20"/>
                <w:szCs w:val="20"/>
                <w:lang w:eastAsia="fr-FR"/>
              </w:rPr>
            </w:pPr>
            <w:r w:rsidRPr="00444CB7">
              <w:rPr>
                <w:rFonts w:ascii="Times New Roman" w:eastAsia="Times New Roman" w:hAnsi="Times New Roman" w:cs="Times New Roman"/>
                <w:b/>
                <w:bCs/>
                <w:color w:val="000000"/>
                <w:lang w:eastAsia="fr-FR"/>
              </w:rPr>
              <w:t xml:space="preserve">PLAN D’ACTION </w:t>
            </w:r>
            <w:r w:rsidR="00B00643" w:rsidRPr="00444CB7">
              <w:rPr>
                <w:rFonts w:ascii="Times New Roman" w:eastAsia="Times New Roman" w:hAnsi="Times New Roman" w:cs="Times New Roman"/>
                <w:b/>
                <w:bCs/>
                <w:color w:val="000000"/>
                <w:lang w:eastAsia="fr-FR"/>
              </w:rPr>
              <w:t>FORMATION</w:t>
            </w:r>
            <w:r w:rsidR="00B00643">
              <w:rPr>
                <w:rFonts w:ascii="Times New Roman" w:eastAsia="Times New Roman" w:hAnsi="Times New Roman" w:cs="Times New Roman"/>
                <w:b/>
                <w:bCs/>
                <w:color w:val="000000"/>
                <w:lang w:eastAsia="fr-FR"/>
              </w:rPr>
              <w:t xml:space="preserve"> </w:t>
            </w:r>
          </w:p>
        </w:tc>
      </w:tr>
      <w:tr w:rsidR="00B00643" w:rsidRPr="002A4D17" w14:paraId="6E084005" w14:textId="77777777" w:rsidTr="004C7E2D">
        <w:trPr>
          <w:gridAfter w:val="1"/>
          <w:wAfter w:w="55" w:type="pct"/>
          <w:trHeight w:val="687"/>
        </w:trPr>
        <w:tc>
          <w:tcPr>
            <w:tcW w:w="931" w:type="pct"/>
            <w:tcBorders>
              <w:top w:val="nil"/>
              <w:left w:val="single" w:sz="4" w:space="0" w:color="auto"/>
              <w:bottom w:val="single" w:sz="4" w:space="0" w:color="auto"/>
              <w:right w:val="nil"/>
            </w:tcBorders>
            <w:shd w:val="clear" w:color="auto" w:fill="FFFFFF" w:themeFill="background1"/>
            <w:noWrap/>
            <w:vAlign w:val="center"/>
            <w:hideMark/>
          </w:tcPr>
          <w:p w14:paraId="4C4CD3CA" w14:textId="77777777" w:rsidR="00B00643" w:rsidRPr="002A4D17" w:rsidRDefault="00B00643" w:rsidP="008D7A30">
            <w:pPr>
              <w:rPr>
                <w:rFonts w:ascii="Times New Roman" w:eastAsia="Times New Roman" w:hAnsi="Times New Roman" w:cs="Times New Roman"/>
                <w:b/>
                <w:bCs/>
                <w:color w:val="000000"/>
                <w:lang w:eastAsia="fr-FR"/>
              </w:rPr>
            </w:pPr>
          </w:p>
        </w:tc>
        <w:tc>
          <w:tcPr>
            <w:tcW w:w="186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A65DCDA" w14:textId="77777777" w:rsidR="00B00643" w:rsidRPr="002A4D17" w:rsidRDefault="00B00643" w:rsidP="008D7A30">
            <w:pPr>
              <w:rPr>
                <w:rFonts w:ascii="Times New Roman" w:eastAsia="Times New Roman" w:hAnsi="Times New Roman" w:cs="Times New Roman"/>
                <w:b/>
                <w:bCs/>
                <w:color w:val="000000"/>
                <w:lang w:eastAsia="fr-FR"/>
              </w:rPr>
            </w:pPr>
            <w:r w:rsidRPr="002A4D17">
              <w:rPr>
                <w:rFonts w:ascii="Times New Roman" w:eastAsia="Times New Roman" w:hAnsi="Times New Roman" w:cs="Times New Roman"/>
                <w:b/>
                <w:bCs/>
                <w:color w:val="000000"/>
                <w:lang w:eastAsia="fr-FR"/>
              </w:rPr>
              <w:t>Engagements 2 derniers mois (mars-avril) </w:t>
            </w:r>
          </w:p>
        </w:tc>
        <w:tc>
          <w:tcPr>
            <w:tcW w:w="1222" w:type="pct"/>
            <w:tcBorders>
              <w:top w:val="nil"/>
              <w:left w:val="single" w:sz="4" w:space="0" w:color="auto"/>
              <w:bottom w:val="nil"/>
              <w:right w:val="nil"/>
            </w:tcBorders>
            <w:shd w:val="clear" w:color="auto" w:fill="auto"/>
            <w:noWrap/>
            <w:vAlign w:val="center"/>
            <w:hideMark/>
          </w:tcPr>
          <w:p w14:paraId="70D66352" w14:textId="77777777" w:rsidR="00B00643" w:rsidRPr="002A4D17" w:rsidRDefault="00B00643" w:rsidP="008D7A30">
            <w:pPr>
              <w:rPr>
                <w:rFonts w:ascii="Times New Roman" w:eastAsia="Times New Roman" w:hAnsi="Times New Roman" w:cs="Times New Roman"/>
                <w:b/>
                <w:bCs/>
                <w:color w:val="000000"/>
                <w:lang w:eastAsia="fr-FR"/>
              </w:rPr>
            </w:pPr>
          </w:p>
        </w:tc>
        <w:tc>
          <w:tcPr>
            <w:tcW w:w="930" w:type="pct"/>
            <w:tcBorders>
              <w:top w:val="nil"/>
              <w:left w:val="nil"/>
              <w:bottom w:val="nil"/>
              <w:right w:val="single" w:sz="4" w:space="0" w:color="auto"/>
            </w:tcBorders>
            <w:shd w:val="clear" w:color="auto" w:fill="auto"/>
            <w:noWrap/>
            <w:vAlign w:val="center"/>
            <w:hideMark/>
          </w:tcPr>
          <w:p w14:paraId="6BAD2F9B"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71C0884" w14:textId="77777777" w:rsidTr="008D7A30">
        <w:trPr>
          <w:gridAfter w:val="1"/>
          <w:wAfter w:w="55" w:type="pct"/>
          <w:trHeight w:val="580"/>
        </w:trPr>
        <w:tc>
          <w:tcPr>
            <w:tcW w:w="93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D8D039D" w14:textId="77777777" w:rsidR="00B00643" w:rsidRPr="002A4D17" w:rsidRDefault="00B00643" w:rsidP="008D7A30">
            <w:pPr>
              <w:rPr>
                <w:rFonts w:ascii="Times New Roman" w:eastAsia="Times New Roman" w:hAnsi="Times New Roman" w:cs="Times New Roman"/>
                <w:b/>
                <w:bCs/>
                <w:i/>
                <w:iCs/>
                <w:color w:val="000000"/>
                <w:lang w:eastAsia="fr-FR"/>
              </w:rPr>
            </w:pPr>
            <w:r w:rsidRPr="002A4D17">
              <w:rPr>
                <w:rFonts w:ascii="Times New Roman" w:eastAsia="Times New Roman" w:hAnsi="Times New Roman" w:cs="Times New Roman"/>
                <w:b/>
                <w:bCs/>
                <w:i/>
                <w:iCs/>
                <w:color w:val="000000"/>
                <w:lang w:eastAsia="fr-FR"/>
              </w:rPr>
              <w:t>Sous-action 1a: Renforcement des capacités physiques</w:t>
            </w:r>
          </w:p>
        </w:tc>
        <w:tc>
          <w:tcPr>
            <w:tcW w:w="982" w:type="pct"/>
            <w:tcBorders>
              <w:top w:val="single" w:sz="4" w:space="0" w:color="auto"/>
              <w:left w:val="single" w:sz="4" w:space="0" w:color="auto"/>
              <w:bottom w:val="single" w:sz="4" w:space="0" w:color="auto"/>
              <w:right w:val="nil"/>
            </w:tcBorders>
            <w:shd w:val="clear" w:color="auto" w:fill="FFF2CC" w:themeFill="accent4" w:themeFillTint="33"/>
            <w:vAlign w:val="center"/>
            <w:hideMark/>
          </w:tcPr>
          <w:p w14:paraId="35D08B5B"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Points d'obstacles</w:t>
            </w:r>
          </w:p>
        </w:tc>
        <w:tc>
          <w:tcPr>
            <w:tcW w:w="88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7EFC6D"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Niveau d'exécution</w:t>
            </w:r>
          </w:p>
        </w:tc>
        <w:tc>
          <w:tcPr>
            <w:tcW w:w="12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EA69752"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Mesures d'accélération</w:t>
            </w:r>
          </w:p>
        </w:tc>
        <w:tc>
          <w:tcPr>
            <w:tcW w:w="930"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680807B1" w14:textId="77777777" w:rsidR="00B00643" w:rsidRPr="002A4D17" w:rsidRDefault="00B00643" w:rsidP="008D7A30">
            <w:pPr>
              <w:ind w:firstLineChars="100" w:firstLine="241"/>
              <w:rPr>
                <w:rFonts w:ascii="Times New Roman" w:eastAsia="Times New Roman" w:hAnsi="Times New Roman" w:cs="Times New Roman"/>
                <w:b/>
                <w:bCs/>
                <w:color w:val="000000"/>
                <w:lang w:eastAsia="fr-FR"/>
              </w:rPr>
            </w:pPr>
            <w:r w:rsidRPr="002A4D17">
              <w:rPr>
                <w:rFonts w:ascii="Times New Roman" w:eastAsia="Times New Roman" w:hAnsi="Times New Roman" w:cs="Times New Roman"/>
                <w:b/>
                <w:bCs/>
                <w:color w:val="000000"/>
                <w:lang w:eastAsia="fr-FR"/>
              </w:rPr>
              <w:t>Engagements 2 prochains mois (juin-juillet)</w:t>
            </w:r>
          </w:p>
        </w:tc>
      </w:tr>
      <w:tr w:rsidR="00B00643" w:rsidRPr="002A4D17" w14:paraId="6E147B4E" w14:textId="77777777" w:rsidTr="008D7A30">
        <w:trPr>
          <w:gridAfter w:val="1"/>
          <w:wAfter w:w="55" w:type="pct"/>
          <w:trHeight w:val="1856"/>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F630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1: Mise à niveau des salles de cours et TP (table bancs, électricité, télécommunication, matériel de projection etc.,) pour les Masters et PhD</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1707E548" w14:textId="61A9248B"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Retard dans la livraison des marchés d'</w:t>
            </w:r>
            <w:r w:rsidR="00FE012B" w:rsidRPr="00687642">
              <w:rPr>
                <w:rFonts w:ascii="Times New Roman" w:eastAsia="Times New Roman" w:hAnsi="Times New Roman" w:cs="Times New Roman"/>
                <w:color w:val="000000"/>
                <w:lang w:eastAsia="fr-FR"/>
              </w:rPr>
              <w:t>équipement</w:t>
            </w:r>
            <w:r w:rsidRPr="00687642">
              <w:rPr>
                <w:rFonts w:ascii="Times New Roman" w:eastAsia="Times New Roman" w:hAnsi="Times New Roman" w:cs="Times New Roman"/>
                <w:color w:val="000000"/>
                <w:lang w:eastAsia="fr-FR"/>
              </w:rPr>
              <w:t xml:space="preserve"> de laboratoire et  de travaux de </w:t>
            </w:r>
            <w:r w:rsidR="00FE012B" w:rsidRPr="00687642">
              <w:rPr>
                <w:rFonts w:ascii="Times New Roman" w:eastAsia="Times New Roman" w:hAnsi="Times New Roman" w:cs="Times New Roman"/>
                <w:color w:val="000000"/>
                <w:lang w:eastAsia="fr-FR"/>
              </w:rPr>
              <w:t>réhabilitation</w:t>
            </w:r>
            <w:r w:rsidRPr="00687642">
              <w:rPr>
                <w:rFonts w:ascii="Times New Roman" w:eastAsia="Times New Roman" w:hAnsi="Times New Roman" w:cs="Times New Roman"/>
                <w:color w:val="000000"/>
                <w:lang w:eastAsia="fr-FR"/>
              </w:rPr>
              <w:t xml:space="preserve"> en relation avec les </w:t>
            </w:r>
            <w:r w:rsidR="00FE012B" w:rsidRPr="00687642">
              <w:rPr>
                <w:rFonts w:ascii="Times New Roman" w:eastAsia="Times New Roman" w:hAnsi="Times New Roman" w:cs="Times New Roman"/>
                <w:color w:val="000000"/>
                <w:lang w:eastAsia="fr-FR"/>
              </w:rPr>
              <w:t>aléas</w:t>
            </w:r>
            <w:r w:rsidRPr="00687642">
              <w:rPr>
                <w:rFonts w:ascii="Times New Roman" w:eastAsia="Times New Roman" w:hAnsi="Times New Roman" w:cs="Times New Roman"/>
                <w:color w:val="000000"/>
                <w:lang w:eastAsia="fr-FR"/>
              </w:rPr>
              <w:t xml:space="preserve"> de la pandémie à COVID 19 </w:t>
            </w:r>
          </w:p>
        </w:tc>
        <w:tc>
          <w:tcPr>
            <w:tcW w:w="880" w:type="pct"/>
            <w:gridSpan w:val="2"/>
            <w:tcBorders>
              <w:top w:val="nil"/>
              <w:left w:val="nil"/>
              <w:bottom w:val="single" w:sz="4" w:space="0" w:color="auto"/>
              <w:right w:val="single" w:sz="4" w:space="0" w:color="auto"/>
            </w:tcBorders>
            <w:shd w:val="clear" w:color="auto" w:fill="auto"/>
            <w:vAlign w:val="center"/>
            <w:hideMark/>
          </w:tcPr>
          <w:p w14:paraId="24F3C2C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marchés sont lancés, attribués, contrats signés</w:t>
            </w:r>
          </w:p>
        </w:tc>
        <w:tc>
          <w:tcPr>
            <w:tcW w:w="1222" w:type="pct"/>
            <w:tcBorders>
              <w:top w:val="nil"/>
              <w:left w:val="nil"/>
              <w:bottom w:val="single" w:sz="4" w:space="0" w:color="auto"/>
              <w:right w:val="single" w:sz="4" w:space="0" w:color="auto"/>
            </w:tcBorders>
            <w:shd w:val="clear" w:color="auto" w:fill="auto"/>
            <w:vAlign w:val="center"/>
            <w:hideMark/>
          </w:tcPr>
          <w:p w14:paraId="36848BBC" w14:textId="30EBCE06" w:rsidR="00B00643" w:rsidRPr="00687642" w:rsidRDefault="00A5563B"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w:t>
            </w:r>
            <w:r w:rsidR="00B00643" w:rsidRPr="00687642">
              <w:rPr>
                <w:rFonts w:ascii="Times New Roman" w:eastAsia="Times New Roman" w:hAnsi="Times New Roman" w:cs="Times New Roman"/>
                <w:color w:val="000000"/>
                <w:lang w:eastAsia="fr-FR"/>
              </w:rPr>
              <w:t xml:space="preserve">e coordonnateur CEA se charge du suivi en attendant le recrutement d'un prestataire SE courant Mai 2022, une date </w:t>
            </w:r>
            <w:r w:rsidR="00FE012B" w:rsidRPr="00687642">
              <w:rPr>
                <w:rFonts w:ascii="Times New Roman" w:eastAsia="Times New Roman" w:hAnsi="Times New Roman" w:cs="Times New Roman"/>
                <w:color w:val="000000"/>
                <w:lang w:eastAsia="fr-FR"/>
              </w:rPr>
              <w:t>butoir</w:t>
            </w:r>
            <w:r w:rsidR="00B00643" w:rsidRPr="00687642">
              <w:rPr>
                <w:rFonts w:ascii="Times New Roman" w:eastAsia="Times New Roman" w:hAnsi="Times New Roman" w:cs="Times New Roman"/>
                <w:color w:val="000000"/>
                <w:lang w:eastAsia="fr-FR"/>
              </w:rPr>
              <w:t xml:space="preserve"> de livraison est notifiée aux attributaires, acquisition du logiciel MS </w:t>
            </w:r>
            <w:proofErr w:type="spellStart"/>
            <w:r w:rsidR="00B00643" w:rsidRPr="00687642">
              <w:rPr>
                <w:rFonts w:ascii="Times New Roman" w:eastAsia="Times New Roman" w:hAnsi="Times New Roman" w:cs="Times New Roman"/>
                <w:color w:val="000000"/>
                <w:lang w:eastAsia="fr-FR"/>
              </w:rPr>
              <w:t>project</w:t>
            </w:r>
            <w:proofErr w:type="spellEnd"/>
            <w:r w:rsidR="00B00643" w:rsidRPr="00687642">
              <w:rPr>
                <w:rFonts w:ascii="Times New Roman" w:eastAsia="Times New Roman" w:hAnsi="Times New Roman" w:cs="Times New Roman"/>
                <w:color w:val="000000"/>
                <w:lang w:eastAsia="fr-FR"/>
              </w:rPr>
              <w:t xml:space="preserve"> pour faciliter le suivi</w:t>
            </w:r>
          </w:p>
        </w:tc>
        <w:tc>
          <w:tcPr>
            <w:tcW w:w="930" w:type="pct"/>
            <w:tcBorders>
              <w:top w:val="nil"/>
              <w:left w:val="nil"/>
              <w:bottom w:val="single" w:sz="4" w:space="0" w:color="auto"/>
              <w:right w:val="single" w:sz="4" w:space="0" w:color="auto"/>
            </w:tcBorders>
            <w:shd w:val="clear" w:color="auto" w:fill="auto"/>
            <w:vAlign w:val="center"/>
            <w:hideMark/>
          </w:tcPr>
          <w:p w14:paraId="15F188A9" w14:textId="2C7C2758" w:rsidR="00B00643" w:rsidRPr="00687642" w:rsidRDefault="00B00643" w:rsidP="008D7A30">
            <w:pPr>
              <w:ind w:firstLineChars="100" w:firstLine="240"/>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un responsable du </w:t>
            </w:r>
            <w:r w:rsidR="00FE012B" w:rsidRPr="00687642">
              <w:rPr>
                <w:rFonts w:ascii="Times New Roman" w:eastAsia="Times New Roman" w:hAnsi="Times New Roman" w:cs="Times New Roman"/>
                <w:color w:val="000000"/>
                <w:lang w:eastAsia="fr-FR"/>
              </w:rPr>
              <w:t>suivi</w:t>
            </w:r>
            <w:r w:rsidRPr="00687642">
              <w:rPr>
                <w:rFonts w:ascii="Times New Roman" w:eastAsia="Times New Roman" w:hAnsi="Times New Roman" w:cs="Times New Roman"/>
                <w:color w:val="000000"/>
                <w:lang w:eastAsia="fr-FR"/>
              </w:rPr>
              <w:t xml:space="preserve"> de l'activité est nommé, une date </w:t>
            </w:r>
            <w:r w:rsidR="00FE012B" w:rsidRPr="00687642">
              <w:rPr>
                <w:rFonts w:ascii="Times New Roman" w:eastAsia="Times New Roman" w:hAnsi="Times New Roman" w:cs="Times New Roman"/>
                <w:color w:val="000000"/>
                <w:lang w:eastAsia="fr-FR"/>
              </w:rPr>
              <w:t>butoir</w:t>
            </w:r>
            <w:r w:rsidRPr="00687642">
              <w:rPr>
                <w:rFonts w:ascii="Times New Roman" w:eastAsia="Times New Roman" w:hAnsi="Times New Roman" w:cs="Times New Roman"/>
                <w:color w:val="000000"/>
                <w:lang w:eastAsia="fr-FR"/>
              </w:rPr>
              <w:t xml:space="preserve"> de livraison est fixée</w:t>
            </w:r>
          </w:p>
        </w:tc>
      </w:tr>
      <w:tr w:rsidR="00B00643" w:rsidRPr="002A4D17" w14:paraId="19D4478E" w14:textId="77777777" w:rsidTr="006C5875">
        <w:trPr>
          <w:gridAfter w:val="1"/>
          <w:wAfter w:w="55" w:type="pct"/>
          <w:trHeight w:val="1034"/>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D423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4: Mise en place de 2 laboratoires de langue en anglais à USSEIN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4FC2A820" w14:textId="793E5872"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Difficulté de trouver dans le pays de fournisseurs appropriés pour le mat</w:t>
            </w:r>
            <w:r w:rsidR="00B12EF9">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riel </w:t>
            </w:r>
          </w:p>
        </w:tc>
        <w:tc>
          <w:tcPr>
            <w:tcW w:w="880" w:type="pct"/>
            <w:gridSpan w:val="2"/>
            <w:tcBorders>
              <w:top w:val="nil"/>
              <w:left w:val="nil"/>
              <w:bottom w:val="single" w:sz="4" w:space="0" w:color="auto"/>
              <w:right w:val="single" w:sz="4" w:space="0" w:color="auto"/>
            </w:tcBorders>
            <w:shd w:val="clear" w:color="auto" w:fill="auto"/>
            <w:vAlign w:val="center"/>
            <w:hideMark/>
          </w:tcPr>
          <w:p w14:paraId="79B8B39B" w14:textId="5AC895FD"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Un fournisseur a été identif</w:t>
            </w:r>
            <w:r w:rsidR="0056091A">
              <w:rPr>
                <w:rFonts w:ascii="Times New Roman" w:eastAsia="Times New Roman" w:hAnsi="Times New Roman" w:cs="Times New Roman"/>
                <w:color w:val="000000"/>
                <w:lang w:eastAsia="fr-FR"/>
              </w:rPr>
              <w:t>i</w:t>
            </w:r>
            <w:r w:rsidRPr="00687642">
              <w:rPr>
                <w:rFonts w:ascii="Times New Roman" w:eastAsia="Times New Roman" w:hAnsi="Times New Roman" w:cs="Times New Roman"/>
                <w:color w:val="000000"/>
                <w:lang w:eastAsia="fr-FR"/>
              </w:rPr>
              <w:t xml:space="preserve">é dans un pays </w:t>
            </w:r>
            <w:r w:rsidR="00A47293">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tranger et le contact établi</w:t>
            </w:r>
          </w:p>
        </w:tc>
        <w:tc>
          <w:tcPr>
            <w:tcW w:w="1222" w:type="pct"/>
            <w:tcBorders>
              <w:top w:val="nil"/>
              <w:left w:val="nil"/>
              <w:bottom w:val="single" w:sz="4" w:space="0" w:color="auto"/>
              <w:right w:val="single" w:sz="4" w:space="0" w:color="auto"/>
            </w:tcBorders>
            <w:shd w:val="clear" w:color="auto" w:fill="auto"/>
            <w:vAlign w:val="center"/>
            <w:hideMark/>
          </w:tcPr>
          <w:p w14:paraId="3DCF354C"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Le coordonnateur adjoint du CEA va assurer le suivi </w:t>
            </w:r>
          </w:p>
        </w:tc>
        <w:tc>
          <w:tcPr>
            <w:tcW w:w="930" w:type="pct"/>
            <w:tcBorders>
              <w:top w:val="nil"/>
              <w:left w:val="nil"/>
              <w:bottom w:val="single" w:sz="4" w:space="0" w:color="auto"/>
              <w:right w:val="single" w:sz="4" w:space="0" w:color="auto"/>
            </w:tcBorders>
            <w:shd w:val="clear" w:color="auto" w:fill="auto"/>
            <w:vAlign w:val="center"/>
            <w:hideMark/>
          </w:tcPr>
          <w:p w14:paraId="513C8557"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Disposer de factures proforma et engager les processus d'acquisition et de contractualisation</w:t>
            </w:r>
          </w:p>
        </w:tc>
      </w:tr>
      <w:tr w:rsidR="00B00643" w:rsidRPr="002A4D17" w14:paraId="53C5AF38" w14:textId="77777777" w:rsidTr="006C5875">
        <w:trPr>
          <w:gridAfter w:val="1"/>
          <w:wAfter w:w="55" w:type="pct"/>
          <w:trHeight w:val="619"/>
        </w:trPr>
        <w:tc>
          <w:tcPr>
            <w:tcW w:w="4945" w:type="pct"/>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14:paraId="25B7A23E" w14:textId="77777777" w:rsidR="00B00643" w:rsidRPr="00687642" w:rsidRDefault="00B00643" w:rsidP="008D7A30">
            <w:pPr>
              <w:rPr>
                <w:rFonts w:ascii="Times New Roman" w:eastAsia="Times New Roman" w:hAnsi="Times New Roman" w:cs="Times New Roman"/>
                <w:b/>
                <w:bCs/>
                <w:i/>
                <w:iCs/>
                <w:color w:val="000000"/>
                <w:lang w:eastAsia="fr-FR"/>
              </w:rPr>
            </w:pPr>
          </w:p>
          <w:p w14:paraId="10D7FE24"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1b: Renforcement des capacités des enseignants et du personnel administratif et technique</w:t>
            </w:r>
          </w:p>
          <w:p w14:paraId="493D67D8"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r>
      <w:tr w:rsidR="00B00643" w:rsidRPr="002A4D17" w14:paraId="2CBE8385" w14:textId="77777777" w:rsidTr="008D7A30">
        <w:trPr>
          <w:gridAfter w:val="1"/>
          <w:wAfter w:w="55" w:type="pct"/>
          <w:trHeight w:val="2015"/>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FEAC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1: Renforcement des capacités des enseignants  en maitrise des nouvelles méthodes pédagogiques (ateliers,</w:t>
            </w:r>
          </w:p>
        </w:tc>
        <w:tc>
          <w:tcPr>
            <w:tcW w:w="982" w:type="pct"/>
            <w:tcBorders>
              <w:top w:val="nil"/>
              <w:left w:val="nil"/>
              <w:bottom w:val="single" w:sz="4" w:space="0" w:color="auto"/>
              <w:right w:val="single" w:sz="4" w:space="0" w:color="auto"/>
            </w:tcBorders>
            <w:shd w:val="clear" w:color="auto" w:fill="auto"/>
            <w:vAlign w:val="center"/>
            <w:hideMark/>
          </w:tcPr>
          <w:p w14:paraId="663FDD8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La fermeture des universités en raison de la pandémie de COVID 19</w:t>
            </w:r>
          </w:p>
        </w:tc>
        <w:tc>
          <w:tcPr>
            <w:tcW w:w="880" w:type="pct"/>
            <w:gridSpan w:val="2"/>
            <w:tcBorders>
              <w:top w:val="nil"/>
              <w:left w:val="nil"/>
              <w:bottom w:val="single" w:sz="4" w:space="0" w:color="auto"/>
              <w:right w:val="single" w:sz="4" w:space="0" w:color="auto"/>
            </w:tcBorders>
            <w:shd w:val="clear" w:color="auto" w:fill="auto"/>
            <w:vAlign w:val="center"/>
            <w:hideMark/>
          </w:tcPr>
          <w:p w14:paraId="3B21F462" w14:textId="7BC1CE78"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La planification a été effectuée et les appels à manifestation d'</w:t>
            </w:r>
            <w:r w:rsidR="004D4611" w:rsidRPr="00687642">
              <w:rPr>
                <w:rFonts w:ascii="Times New Roman" w:eastAsia="Times New Roman" w:hAnsi="Times New Roman" w:cs="Times New Roman"/>
                <w:color w:val="000000"/>
                <w:lang w:eastAsia="fr-FR"/>
              </w:rPr>
              <w:t>intérêt</w:t>
            </w:r>
            <w:r w:rsidRPr="00687642">
              <w:rPr>
                <w:rFonts w:ascii="Times New Roman" w:eastAsia="Times New Roman" w:hAnsi="Times New Roman" w:cs="Times New Roman"/>
                <w:color w:val="000000"/>
                <w:lang w:eastAsia="fr-FR"/>
              </w:rPr>
              <w:t xml:space="preserve"> vont </w:t>
            </w:r>
            <w:r w:rsidR="004D4611" w:rsidRPr="00687642">
              <w:rPr>
                <w:rFonts w:ascii="Times New Roman" w:eastAsia="Times New Roman" w:hAnsi="Times New Roman" w:cs="Times New Roman"/>
                <w:color w:val="000000"/>
                <w:lang w:eastAsia="fr-FR"/>
              </w:rPr>
              <w:t>être</w:t>
            </w:r>
            <w:r w:rsidRPr="00687642">
              <w:rPr>
                <w:rFonts w:ascii="Times New Roman" w:eastAsia="Times New Roman" w:hAnsi="Times New Roman" w:cs="Times New Roman"/>
                <w:color w:val="000000"/>
                <w:lang w:eastAsia="fr-FR"/>
              </w:rPr>
              <w:t xml:space="preserve"> lancés avant le 31 mai 22 </w:t>
            </w:r>
          </w:p>
        </w:tc>
        <w:tc>
          <w:tcPr>
            <w:tcW w:w="1222" w:type="pct"/>
            <w:tcBorders>
              <w:top w:val="nil"/>
              <w:left w:val="nil"/>
              <w:bottom w:val="single" w:sz="4" w:space="0" w:color="auto"/>
              <w:right w:val="single" w:sz="4" w:space="0" w:color="auto"/>
            </w:tcBorders>
            <w:shd w:val="clear" w:color="auto" w:fill="auto"/>
            <w:vAlign w:val="center"/>
            <w:hideMark/>
          </w:tcPr>
          <w:p w14:paraId="20A92EDE" w14:textId="0011FAE5"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L'installation et la mise en fonction du </w:t>
            </w:r>
            <w:r w:rsidR="004D4611" w:rsidRPr="00687642">
              <w:rPr>
                <w:rFonts w:ascii="Times New Roman" w:eastAsia="Times New Roman" w:hAnsi="Times New Roman" w:cs="Times New Roman"/>
                <w:color w:val="000000"/>
                <w:lang w:eastAsia="fr-FR"/>
              </w:rPr>
              <w:t>matériel</w:t>
            </w:r>
            <w:r w:rsidRPr="00687642">
              <w:rPr>
                <w:rFonts w:ascii="Times New Roman" w:eastAsia="Times New Roman" w:hAnsi="Times New Roman" w:cs="Times New Roman"/>
                <w:color w:val="000000"/>
                <w:lang w:eastAsia="fr-FR"/>
              </w:rPr>
              <w:t xml:space="preserve"> de </w:t>
            </w:r>
            <w:r w:rsidR="004D4611" w:rsidRPr="00687642">
              <w:rPr>
                <w:rFonts w:ascii="Times New Roman" w:eastAsia="Times New Roman" w:hAnsi="Times New Roman" w:cs="Times New Roman"/>
                <w:color w:val="000000"/>
                <w:lang w:eastAsia="fr-FR"/>
              </w:rPr>
              <w:t>visioconférence</w:t>
            </w:r>
            <w:r w:rsidRPr="00687642">
              <w:rPr>
                <w:rFonts w:ascii="Times New Roman" w:eastAsia="Times New Roman" w:hAnsi="Times New Roman" w:cs="Times New Roman"/>
                <w:color w:val="000000"/>
                <w:lang w:eastAsia="fr-FR"/>
              </w:rPr>
              <w:t xml:space="preserve"> déjà acquis par le CEA pour le compte des universités partenaires va contribuer. Le responsable de la formation du CEA va assurer le suivi.</w:t>
            </w:r>
          </w:p>
        </w:tc>
        <w:tc>
          <w:tcPr>
            <w:tcW w:w="930" w:type="pct"/>
            <w:tcBorders>
              <w:top w:val="nil"/>
              <w:left w:val="nil"/>
              <w:bottom w:val="single" w:sz="4" w:space="0" w:color="auto"/>
              <w:right w:val="single" w:sz="4" w:space="0" w:color="auto"/>
            </w:tcBorders>
            <w:shd w:val="clear" w:color="auto" w:fill="auto"/>
            <w:vAlign w:val="center"/>
            <w:hideMark/>
          </w:tcPr>
          <w:p w14:paraId="1577B745" w14:textId="4CD2C835" w:rsidR="00B00643" w:rsidRPr="00687642" w:rsidRDefault="006C5875"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w:t>
            </w:r>
            <w:r w:rsidR="00B00643" w:rsidRPr="00687642">
              <w:rPr>
                <w:rFonts w:ascii="Times New Roman" w:eastAsia="Times New Roman" w:hAnsi="Times New Roman" w:cs="Times New Roman"/>
                <w:color w:val="000000"/>
                <w:lang w:eastAsia="fr-FR"/>
              </w:rPr>
              <w:t>n atelier mobilisant au minimum 60 enseignants sera organisé à l'UCAD, UGB, UIDT, USSEIN (soit 4 ateliers avant fin d</w:t>
            </w:r>
            <w:r w:rsidR="004D4611">
              <w:rPr>
                <w:rFonts w:ascii="Times New Roman" w:eastAsia="Times New Roman" w:hAnsi="Times New Roman" w:cs="Times New Roman"/>
                <w:color w:val="000000"/>
                <w:lang w:eastAsia="fr-FR"/>
              </w:rPr>
              <w:t>é</w:t>
            </w:r>
            <w:r w:rsidR="00B00643" w:rsidRPr="00687642">
              <w:rPr>
                <w:rFonts w:ascii="Times New Roman" w:eastAsia="Times New Roman" w:hAnsi="Times New Roman" w:cs="Times New Roman"/>
                <w:color w:val="000000"/>
                <w:lang w:eastAsia="fr-FR"/>
              </w:rPr>
              <w:t xml:space="preserve">cembre) partir de juin, se tiendra dans les 4 universités du CEA </w:t>
            </w:r>
          </w:p>
        </w:tc>
      </w:tr>
      <w:tr w:rsidR="00B00643" w:rsidRPr="002A4D17" w14:paraId="00F5BEA7" w14:textId="77777777" w:rsidTr="008D7A30">
        <w:trPr>
          <w:gridAfter w:val="1"/>
          <w:wAfter w:w="55" w:type="pct"/>
          <w:trHeight w:val="2165"/>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85AA9"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2: Renforcement des capacités du personnel administratif, technique et de service (PATS)</w:t>
            </w:r>
          </w:p>
        </w:tc>
        <w:tc>
          <w:tcPr>
            <w:tcW w:w="982" w:type="pct"/>
            <w:tcBorders>
              <w:top w:val="nil"/>
              <w:left w:val="nil"/>
              <w:bottom w:val="single" w:sz="4" w:space="0" w:color="auto"/>
              <w:right w:val="single" w:sz="4" w:space="0" w:color="auto"/>
            </w:tcBorders>
            <w:shd w:val="clear" w:color="auto" w:fill="auto"/>
            <w:vAlign w:val="center"/>
            <w:hideMark/>
          </w:tcPr>
          <w:p w14:paraId="584ADAF6"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La fermeture des universités en raison de la pandémie de COVID 19</w:t>
            </w:r>
          </w:p>
        </w:tc>
        <w:tc>
          <w:tcPr>
            <w:tcW w:w="880" w:type="pct"/>
            <w:gridSpan w:val="2"/>
            <w:tcBorders>
              <w:top w:val="nil"/>
              <w:left w:val="nil"/>
              <w:bottom w:val="single" w:sz="4" w:space="0" w:color="auto"/>
              <w:right w:val="single" w:sz="4" w:space="0" w:color="auto"/>
            </w:tcBorders>
            <w:shd w:val="clear" w:color="auto" w:fill="auto"/>
            <w:vAlign w:val="center"/>
            <w:hideMark/>
          </w:tcPr>
          <w:p w14:paraId="4ABEF9D7" w14:textId="2D5A90E0"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La planification a été effectuée et les appels à manifestation d'</w:t>
            </w:r>
            <w:r w:rsidR="004D4611" w:rsidRPr="00687642">
              <w:rPr>
                <w:rFonts w:ascii="Times New Roman" w:eastAsia="Times New Roman" w:hAnsi="Times New Roman" w:cs="Times New Roman"/>
                <w:color w:val="000000"/>
                <w:lang w:eastAsia="fr-FR"/>
              </w:rPr>
              <w:t>intérêt</w:t>
            </w:r>
            <w:r w:rsidRPr="00687642">
              <w:rPr>
                <w:rFonts w:ascii="Times New Roman" w:eastAsia="Times New Roman" w:hAnsi="Times New Roman" w:cs="Times New Roman"/>
                <w:color w:val="000000"/>
                <w:lang w:eastAsia="fr-FR"/>
              </w:rPr>
              <w:t xml:space="preserve"> vont </w:t>
            </w:r>
            <w:r w:rsidR="004D4611">
              <w:rPr>
                <w:rFonts w:ascii="Times New Roman" w:eastAsia="Times New Roman" w:hAnsi="Times New Roman" w:cs="Times New Roman"/>
                <w:color w:val="000000"/>
                <w:lang w:eastAsia="fr-FR"/>
              </w:rPr>
              <w:t>ê</w:t>
            </w:r>
            <w:r w:rsidRPr="00687642">
              <w:rPr>
                <w:rFonts w:ascii="Times New Roman" w:eastAsia="Times New Roman" w:hAnsi="Times New Roman" w:cs="Times New Roman"/>
                <w:color w:val="000000"/>
                <w:lang w:eastAsia="fr-FR"/>
              </w:rPr>
              <w:t xml:space="preserve">tre lancés avant le 31 mai 22 </w:t>
            </w:r>
          </w:p>
        </w:tc>
        <w:tc>
          <w:tcPr>
            <w:tcW w:w="1222" w:type="pct"/>
            <w:tcBorders>
              <w:top w:val="nil"/>
              <w:left w:val="nil"/>
              <w:bottom w:val="single" w:sz="4" w:space="0" w:color="auto"/>
              <w:right w:val="single" w:sz="4" w:space="0" w:color="auto"/>
            </w:tcBorders>
            <w:shd w:val="clear" w:color="auto" w:fill="auto"/>
            <w:vAlign w:val="center"/>
            <w:hideMark/>
          </w:tcPr>
          <w:p w14:paraId="1B838B38"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Les appels à candidatures seront lancés pour  le recrutement d'un consultant qui assurera la formation. Le responsable de la formation du CEA va assurer le suivi </w:t>
            </w:r>
          </w:p>
        </w:tc>
        <w:tc>
          <w:tcPr>
            <w:tcW w:w="930" w:type="pct"/>
            <w:tcBorders>
              <w:top w:val="nil"/>
              <w:left w:val="nil"/>
              <w:bottom w:val="single" w:sz="4" w:space="0" w:color="auto"/>
              <w:right w:val="single" w:sz="4" w:space="0" w:color="auto"/>
            </w:tcBorders>
            <w:shd w:val="clear" w:color="auto" w:fill="auto"/>
            <w:vAlign w:val="center"/>
            <w:hideMark/>
          </w:tcPr>
          <w:p w14:paraId="20809C37" w14:textId="0674B646" w:rsidR="00B00643" w:rsidRPr="00687642" w:rsidRDefault="006C5875"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w:t>
            </w:r>
            <w:r w:rsidR="00B00643" w:rsidRPr="00687642">
              <w:rPr>
                <w:rFonts w:ascii="Times New Roman" w:eastAsia="Times New Roman" w:hAnsi="Times New Roman" w:cs="Times New Roman"/>
                <w:color w:val="000000"/>
                <w:lang w:eastAsia="fr-FR"/>
              </w:rPr>
              <w:t>n atelier mobilisant au minimum 40 PATS sera organisé à l'UCAD, UGB, UIDT, USSEIN (soit 4 ateliers avant fin d</w:t>
            </w:r>
            <w:r w:rsidR="004D4611">
              <w:rPr>
                <w:rFonts w:ascii="Times New Roman" w:eastAsia="Times New Roman" w:hAnsi="Times New Roman" w:cs="Times New Roman"/>
                <w:color w:val="000000"/>
                <w:lang w:eastAsia="fr-FR"/>
              </w:rPr>
              <w:t>é</w:t>
            </w:r>
            <w:r w:rsidR="00B00643" w:rsidRPr="00687642">
              <w:rPr>
                <w:rFonts w:ascii="Times New Roman" w:eastAsia="Times New Roman" w:hAnsi="Times New Roman" w:cs="Times New Roman"/>
                <w:color w:val="000000"/>
                <w:lang w:eastAsia="fr-FR"/>
              </w:rPr>
              <w:t xml:space="preserve">cembre) partir de juin, se tiendra dans les 4 universités du CEA </w:t>
            </w:r>
          </w:p>
        </w:tc>
      </w:tr>
      <w:tr w:rsidR="00B00643" w:rsidRPr="002A4D17" w14:paraId="59CAB49E" w14:textId="77777777" w:rsidTr="008D7A30">
        <w:trPr>
          <w:gridAfter w:val="1"/>
          <w:wAfter w:w="55" w:type="pct"/>
          <w:trHeight w:val="1237"/>
        </w:trPr>
        <w:tc>
          <w:tcPr>
            <w:tcW w:w="931" w:type="pct"/>
            <w:tcBorders>
              <w:top w:val="nil"/>
              <w:left w:val="single" w:sz="4" w:space="0" w:color="auto"/>
              <w:bottom w:val="single" w:sz="4" w:space="0" w:color="auto"/>
              <w:right w:val="single" w:sz="4" w:space="0" w:color="auto"/>
            </w:tcBorders>
            <w:shd w:val="clear" w:color="auto" w:fill="auto"/>
            <w:vAlign w:val="center"/>
            <w:hideMark/>
          </w:tcPr>
          <w:p w14:paraId="6E9FC9E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3: Atelier en rédaction scientifique  </w:t>
            </w:r>
          </w:p>
        </w:tc>
        <w:tc>
          <w:tcPr>
            <w:tcW w:w="982" w:type="pct"/>
            <w:tcBorders>
              <w:top w:val="nil"/>
              <w:left w:val="nil"/>
              <w:bottom w:val="single" w:sz="4" w:space="0" w:color="auto"/>
              <w:right w:val="single" w:sz="4" w:space="0" w:color="auto"/>
            </w:tcBorders>
            <w:shd w:val="clear" w:color="auto" w:fill="auto"/>
            <w:vAlign w:val="center"/>
            <w:hideMark/>
          </w:tcPr>
          <w:p w14:paraId="0310CC4E" w14:textId="0AEEE57C"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Il n'y a pas eu d'obstacle. </w:t>
            </w:r>
          </w:p>
        </w:tc>
        <w:tc>
          <w:tcPr>
            <w:tcW w:w="880" w:type="pct"/>
            <w:gridSpan w:val="2"/>
            <w:tcBorders>
              <w:top w:val="nil"/>
              <w:left w:val="nil"/>
              <w:bottom w:val="single" w:sz="4" w:space="0" w:color="auto"/>
              <w:right w:val="single" w:sz="4" w:space="0" w:color="auto"/>
            </w:tcBorders>
            <w:shd w:val="clear" w:color="auto" w:fill="auto"/>
            <w:noWrap/>
            <w:vAlign w:val="center"/>
            <w:hideMark/>
          </w:tcPr>
          <w:p w14:paraId="39BD3A6B" w14:textId="46814730" w:rsidR="006C5875" w:rsidRDefault="006C5875"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Un atelier a </w:t>
            </w:r>
            <w:proofErr w:type="spellStart"/>
            <w:r w:rsidRPr="00687642">
              <w:rPr>
                <w:rFonts w:ascii="Times New Roman" w:eastAsia="Times New Roman" w:hAnsi="Times New Roman" w:cs="Times New Roman"/>
                <w:color w:val="000000"/>
                <w:lang w:eastAsia="fr-FR"/>
              </w:rPr>
              <w:t>dejà</w:t>
            </w:r>
            <w:proofErr w:type="spellEnd"/>
            <w:r w:rsidRPr="00687642">
              <w:rPr>
                <w:rFonts w:ascii="Times New Roman" w:eastAsia="Times New Roman" w:hAnsi="Times New Roman" w:cs="Times New Roman"/>
                <w:color w:val="000000"/>
                <w:lang w:eastAsia="fr-FR"/>
              </w:rPr>
              <w:t xml:space="preserve"> été </w:t>
            </w:r>
            <w:r w:rsidR="004D4611" w:rsidRPr="00687642">
              <w:rPr>
                <w:rFonts w:ascii="Times New Roman" w:eastAsia="Times New Roman" w:hAnsi="Times New Roman" w:cs="Times New Roman"/>
                <w:color w:val="000000"/>
                <w:lang w:eastAsia="fr-FR"/>
              </w:rPr>
              <w:t>réalisé</w:t>
            </w:r>
            <w:r w:rsidRPr="00687642">
              <w:rPr>
                <w:rFonts w:ascii="Times New Roman" w:eastAsia="Times New Roman" w:hAnsi="Times New Roman" w:cs="Times New Roman"/>
                <w:color w:val="000000"/>
                <w:lang w:eastAsia="fr-FR"/>
              </w:rPr>
              <w:t xml:space="preserve"> en 2021, un autre atelier se tiendra pour satisfaire la très forte demande</w:t>
            </w:r>
            <w:r>
              <w:rPr>
                <w:rFonts w:ascii="Times New Roman" w:eastAsia="Times New Roman" w:hAnsi="Times New Roman" w:cs="Times New Roman"/>
                <w:color w:val="000000"/>
                <w:lang w:eastAsia="fr-FR"/>
              </w:rPr>
              <w:t>.</w:t>
            </w:r>
          </w:p>
          <w:p w14:paraId="367A8C40" w14:textId="61273F88" w:rsidR="00B00643" w:rsidRPr="00687642" w:rsidRDefault="006C5875"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D’autres formation sont planifiées</w:t>
            </w:r>
            <w:r w:rsidR="00B00643" w:rsidRPr="00687642">
              <w:rPr>
                <w:rFonts w:ascii="Times New Roman" w:eastAsia="Times New Roman" w:hAnsi="Times New Roman" w:cs="Times New Roman"/>
                <w:color w:val="000000"/>
                <w:lang w:eastAsia="fr-FR"/>
              </w:rPr>
              <w:t xml:space="preserve"> pour </w:t>
            </w:r>
            <w:r>
              <w:rPr>
                <w:rFonts w:ascii="Times New Roman" w:eastAsia="Times New Roman" w:hAnsi="Times New Roman" w:cs="Times New Roman"/>
                <w:color w:val="000000"/>
                <w:lang w:eastAsia="fr-FR"/>
              </w:rPr>
              <w:t>le mois d’</w:t>
            </w:r>
            <w:r w:rsidR="00B00643" w:rsidRPr="00687642">
              <w:rPr>
                <w:rFonts w:ascii="Times New Roman" w:eastAsia="Times New Roman" w:hAnsi="Times New Roman" w:cs="Times New Roman"/>
                <w:color w:val="000000"/>
                <w:lang w:eastAsia="fr-FR"/>
              </w:rPr>
              <w:t>octobre 2022</w:t>
            </w:r>
          </w:p>
        </w:tc>
        <w:tc>
          <w:tcPr>
            <w:tcW w:w="1222" w:type="pct"/>
            <w:tcBorders>
              <w:top w:val="nil"/>
              <w:left w:val="nil"/>
              <w:bottom w:val="single" w:sz="4" w:space="0" w:color="auto"/>
              <w:right w:val="single" w:sz="4" w:space="0" w:color="auto"/>
            </w:tcBorders>
            <w:shd w:val="clear" w:color="auto" w:fill="auto"/>
            <w:noWrap/>
            <w:vAlign w:val="center"/>
            <w:hideMark/>
          </w:tcPr>
          <w:p w14:paraId="16634AC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30" w:type="pct"/>
            <w:tcBorders>
              <w:top w:val="nil"/>
              <w:left w:val="nil"/>
              <w:bottom w:val="single" w:sz="4" w:space="0" w:color="auto"/>
              <w:right w:val="single" w:sz="4" w:space="0" w:color="auto"/>
            </w:tcBorders>
            <w:shd w:val="clear" w:color="auto" w:fill="auto"/>
            <w:vAlign w:val="center"/>
            <w:hideMark/>
          </w:tcPr>
          <w:p w14:paraId="7A383809" w14:textId="3CEC1501" w:rsidR="00B00643" w:rsidRPr="00687642" w:rsidRDefault="00B00643"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Un atelier mobilisant des PER d</w:t>
            </w:r>
            <w:r w:rsidRPr="00687642">
              <w:rPr>
                <w:rFonts w:ascii="Times New Roman" w:eastAsia="Times New Roman" w:hAnsi="Times New Roman" w:cs="Times New Roman"/>
                <w:color w:val="000000"/>
                <w:lang w:eastAsia="fr-FR"/>
              </w:rPr>
              <w:t>es différentes universités sera organisé en juin</w:t>
            </w:r>
            <w:r w:rsidR="00FE026A">
              <w:rPr>
                <w:rFonts w:ascii="Times New Roman" w:eastAsia="Times New Roman" w:hAnsi="Times New Roman" w:cs="Times New Roman"/>
                <w:color w:val="000000"/>
                <w:lang w:eastAsia="fr-FR"/>
              </w:rPr>
              <w:t xml:space="preserve"> 22</w:t>
            </w:r>
          </w:p>
        </w:tc>
      </w:tr>
      <w:tr w:rsidR="00B00643" w:rsidRPr="002A4D17" w14:paraId="11799F16" w14:textId="77777777" w:rsidTr="008D7A30">
        <w:trPr>
          <w:gridAfter w:val="1"/>
          <w:wAfter w:w="55" w:type="pct"/>
          <w:trHeight w:val="619"/>
        </w:trPr>
        <w:tc>
          <w:tcPr>
            <w:tcW w:w="4945" w:type="pct"/>
            <w:gridSpan w:val="6"/>
            <w:tcBorders>
              <w:top w:val="nil"/>
              <w:left w:val="nil"/>
              <w:bottom w:val="single" w:sz="4" w:space="0" w:color="auto"/>
              <w:right w:val="nil"/>
            </w:tcBorders>
            <w:shd w:val="clear" w:color="000000" w:fill="D0CECE"/>
            <w:vAlign w:val="center"/>
            <w:hideMark/>
          </w:tcPr>
          <w:p w14:paraId="598A152B" w14:textId="77777777" w:rsidR="00B00643" w:rsidRPr="00687642" w:rsidRDefault="00B00643" w:rsidP="008D7A30">
            <w:pPr>
              <w:rPr>
                <w:rFonts w:ascii="Times New Roman" w:eastAsia="Times New Roman" w:hAnsi="Times New Roman" w:cs="Times New Roman"/>
                <w:b/>
                <w:bCs/>
                <w:i/>
                <w:iCs/>
                <w:color w:val="000000"/>
                <w:lang w:eastAsia="fr-FR"/>
              </w:rPr>
            </w:pPr>
          </w:p>
          <w:p w14:paraId="215B0411"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xml:space="preserve">Sous-Action 1d: Dispense des enseignements en master dans les universités  </w:t>
            </w:r>
          </w:p>
          <w:p w14:paraId="3BB7B3CD"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r>
      <w:tr w:rsidR="00B00643" w:rsidRPr="002A4D17" w14:paraId="788811D2" w14:textId="77777777" w:rsidTr="008D7A30">
        <w:trPr>
          <w:gridAfter w:val="1"/>
          <w:wAfter w:w="55" w:type="pct"/>
          <w:trHeight w:val="928"/>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4A24C"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lastRenderedPageBreak/>
              <w:t xml:space="preserve">Activité 2: Elaboration des curricula, production de modules de formation  </w:t>
            </w:r>
          </w:p>
        </w:tc>
        <w:tc>
          <w:tcPr>
            <w:tcW w:w="982" w:type="pct"/>
            <w:tcBorders>
              <w:top w:val="nil"/>
              <w:left w:val="nil"/>
              <w:bottom w:val="single" w:sz="4" w:space="0" w:color="auto"/>
              <w:right w:val="single" w:sz="4" w:space="0" w:color="auto"/>
            </w:tcBorders>
            <w:shd w:val="clear" w:color="auto" w:fill="auto"/>
            <w:vAlign w:val="center"/>
            <w:hideMark/>
          </w:tcPr>
          <w:p w14:paraId="48831473" w14:textId="31602E4B"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Des ateliers d'</w:t>
            </w:r>
            <w:r w:rsidR="004D4611">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laboration de curricula ont </w:t>
            </w:r>
            <w:r w:rsidR="004D4611" w:rsidRPr="00687642">
              <w:rPr>
                <w:rFonts w:ascii="Times New Roman" w:eastAsia="Times New Roman" w:hAnsi="Times New Roman" w:cs="Times New Roman"/>
                <w:color w:val="000000"/>
                <w:lang w:eastAsia="fr-FR"/>
              </w:rPr>
              <w:t>déjà</w:t>
            </w:r>
            <w:r w:rsidRPr="00687642">
              <w:rPr>
                <w:rFonts w:ascii="Times New Roman" w:eastAsia="Times New Roman" w:hAnsi="Times New Roman" w:cs="Times New Roman"/>
                <w:color w:val="000000"/>
                <w:lang w:eastAsia="fr-FR"/>
              </w:rPr>
              <w:t xml:space="preserve"> été organisés entre novembre et d</w:t>
            </w:r>
            <w:r w:rsidR="00066511">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cembre 2021 </w:t>
            </w:r>
          </w:p>
        </w:tc>
        <w:tc>
          <w:tcPr>
            <w:tcW w:w="880" w:type="pct"/>
            <w:gridSpan w:val="2"/>
            <w:tcBorders>
              <w:top w:val="nil"/>
              <w:left w:val="nil"/>
              <w:bottom w:val="single" w:sz="4" w:space="0" w:color="auto"/>
              <w:right w:val="single" w:sz="4" w:space="0" w:color="auto"/>
            </w:tcBorders>
            <w:shd w:val="clear" w:color="auto" w:fill="auto"/>
            <w:vAlign w:val="center"/>
            <w:hideMark/>
          </w:tcPr>
          <w:p w14:paraId="67B46D9F"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22" w:type="pct"/>
            <w:tcBorders>
              <w:top w:val="nil"/>
              <w:left w:val="nil"/>
              <w:bottom w:val="single" w:sz="4" w:space="0" w:color="auto"/>
              <w:right w:val="single" w:sz="4" w:space="0" w:color="auto"/>
            </w:tcBorders>
            <w:shd w:val="clear" w:color="auto" w:fill="auto"/>
            <w:vAlign w:val="center"/>
            <w:hideMark/>
          </w:tcPr>
          <w:p w14:paraId="0FDE518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30" w:type="pct"/>
            <w:tcBorders>
              <w:top w:val="nil"/>
              <w:left w:val="nil"/>
              <w:bottom w:val="single" w:sz="4" w:space="0" w:color="auto"/>
              <w:right w:val="single" w:sz="4" w:space="0" w:color="auto"/>
            </w:tcBorders>
            <w:shd w:val="clear" w:color="auto" w:fill="auto"/>
            <w:vAlign w:val="center"/>
            <w:hideMark/>
          </w:tcPr>
          <w:p w14:paraId="5EEB00BC"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r>
      <w:tr w:rsidR="00B00643" w:rsidRPr="002A4D17" w14:paraId="182DD880" w14:textId="77777777" w:rsidTr="008D7A30">
        <w:trPr>
          <w:gridAfter w:val="1"/>
          <w:wAfter w:w="55" w:type="pct"/>
          <w:trHeight w:val="1237"/>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0AA37"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3: Prise en charge des frais de participation aux jury de soutenances </w:t>
            </w:r>
          </w:p>
        </w:tc>
        <w:tc>
          <w:tcPr>
            <w:tcW w:w="982" w:type="pct"/>
            <w:tcBorders>
              <w:top w:val="nil"/>
              <w:left w:val="nil"/>
              <w:bottom w:val="single" w:sz="4" w:space="0" w:color="auto"/>
              <w:right w:val="single" w:sz="4" w:space="0" w:color="auto"/>
            </w:tcBorders>
            <w:shd w:val="clear" w:color="auto" w:fill="auto"/>
            <w:vAlign w:val="center"/>
            <w:hideMark/>
          </w:tcPr>
          <w:p w14:paraId="5B2EBC72" w14:textId="7225215B" w:rsidR="00B00643" w:rsidRPr="00687642" w:rsidRDefault="00011D32" w:rsidP="008D7A30">
            <w:pPr>
              <w:rPr>
                <w:rFonts w:ascii="Times New Roman" w:eastAsia="Times New Roman" w:hAnsi="Times New Roman" w:cs="Times New Roman"/>
                <w:color w:val="000000"/>
                <w:lang w:eastAsia="fr-FR"/>
              </w:rPr>
            </w:pPr>
            <w:r>
              <w:rPr>
                <w:rFonts w:ascii="Calibri" w:eastAsia="Times New Roman" w:hAnsi="Calibri" w:cs="Calibri"/>
                <w:color w:val="000000"/>
                <w:lang w:eastAsia="fr-FR"/>
              </w:rPr>
              <w:t xml:space="preserve">Les aléas de la </w:t>
            </w:r>
            <w:r w:rsidRPr="00687642">
              <w:rPr>
                <w:rFonts w:ascii="Calibri" w:eastAsia="Times New Roman" w:hAnsi="Calibri" w:cs="Calibri"/>
                <w:color w:val="000000"/>
                <w:lang w:eastAsia="fr-FR"/>
              </w:rPr>
              <w:t>Pand</w:t>
            </w:r>
            <w:r>
              <w:rPr>
                <w:rFonts w:ascii="Calibri" w:eastAsia="Times New Roman" w:hAnsi="Calibri" w:cs="Calibri"/>
                <w:color w:val="000000"/>
                <w:lang w:eastAsia="fr-FR"/>
              </w:rPr>
              <w:t>é</w:t>
            </w:r>
            <w:r w:rsidRPr="00687642">
              <w:rPr>
                <w:rFonts w:ascii="Calibri" w:eastAsia="Times New Roman" w:hAnsi="Calibri" w:cs="Calibri"/>
                <w:color w:val="000000"/>
                <w:lang w:eastAsia="fr-FR"/>
              </w:rPr>
              <w:t>mie COVID 19</w:t>
            </w:r>
            <w:r>
              <w:rPr>
                <w:rFonts w:ascii="Calibri" w:eastAsia="Times New Roman" w:hAnsi="Calibri" w:cs="Calibri"/>
                <w:color w:val="000000"/>
                <w:lang w:eastAsia="fr-FR"/>
              </w:rPr>
              <w:t xml:space="preserve"> ont empêché le déroulement de cette activité</w:t>
            </w:r>
          </w:p>
        </w:tc>
        <w:tc>
          <w:tcPr>
            <w:tcW w:w="880" w:type="pct"/>
            <w:gridSpan w:val="2"/>
            <w:tcBorders>
              <w:top w:val="nil"/>
              <w:left w:val="nil"/>
              <w:bottom w:val="single" w:sz="4" w:space="0" w:color="auto"/>
              <w:right w:val="single" w:sz="4" w:space="0" w:color="auto"/>
            </w:tcBorders>
            <w:shd w:val="clear" w:color="auto" w:fill="auto"/>
            <w:vAlign w:val="center"/>
            <w:hideMark/>
          </w:tcPr>
          <w:p w14:paraId="2B0051A9"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22" w:type="pct"/>
            <w:tcBorders>
              <w:top w:val="nil"/>
              <w:left w:val="nil"/>
              <w:bottom w:val="single" w:sz="4" w:space="0" w:color="auto"/>
              <w:right w:val="single" w:sz="4" w:space="0" w:color="auto"/>
            </w:tcBorders>
            <w:shd w:val="clear" w:color="auto" w:fill="auto"/>
            <w:vAlign w:val="center"/>
            <w:hideMark/>
          </w:tcPr>
          <w:p w14:paraId="4649779E" w14:textId="51DCC13F" w:rsidR="00B00643" w:rsidRPr="00687642" w:rsidRDefault="00011D32" w:rsidP="00011D32">
            <w:p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w:t>
            </w:r>
            <w:r w:rsidR="00B00643" w:rsidRPr="00687642">
              <w:rPr>
                <w:rFonts w:ascii="Times New Roman" w:eastAsia="Times New Roman" w:hAnsi="Times New Roman" w:cs="Times New Roman"/>
                <w:color w:val="000000"/>
                <w:lang w:eastAsia="fr-FR"/>
              </w:rPr>
              <w:t>es courriers d'information seront envoyés aux directeurs d'</w:t>
            </w:r>
            <w:r w:rsidR="004D4611">
              <w:rPr>
                <w:rFonts w:ascii="Times New Roman" w:eastAsia="Times New Roman" w:hAnsi="Times New Roman" w:cs="Times New Roman"/>
                <w:color w:val="000000"/>
                <w:lang w:eastAsia="fr-FR"/>
              </w:rPr>
              <w:t>é</w:t>
            </w:r>
            <w:r w:rsidR="00B00643" w:rsidRPr="00687642">
              <w:rPr>
                <w:rFonts w:ascii="Times New Roman" w:eastAsia="Times New Roman" w:hAnsi="Times New Roman" w:cs="Times New Roman"/>
                <w:color w:val="000000"/>
                <w:lang w:eastAsia="fr-FR"/>
              </w:rPr>
              <w:t>coles doctorales. Le Responsable recherche du CEA</w:t>
            </w:r>
          </w:p>
        </w:tc>
        <w:tc>
          <w:tcPr>
            <w:tcW w:w="930" w:type="pct"/>
            <w:tcBorders>
              <w:top w:val="nil"/>
              <w:left w:val="nil"/>
              <w:bottom w:val="single" w:sz="4" w:space="0" w:color="auto"/>
              <w:right w:val="single" w:sz="4" w:space="0" w:color="auto"/>
            </w:tcBorders>
            <w:shd w:val="clear" w:color="auto" w:fill="auto"/>
            <w:vAlign w:val="center"/>
            <w:hideMark/>
          </w:tcPr>
          <w:p w14:paraId="0B7EBD39"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r>
      <w:tr w:rsidR="00B00643" w:rsidRPr="002A4D17" w14:paraId="5BB5AF9F" w14:textId="77777777" w:rsidTr="004D7895">
        <w:trPr>
          <w:gridAfter w:val="1"/>
          <w:wAfter w:w="55" w:type="pct"/>
          <w:trHeight w:val="1237"/>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B4056"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 xml:space="preserve">Activité 5:Prise en charge des enseignants régionaux et internationaux(20 prof, 12 masters, 75 heures par cours dont 12 prof en </w:t>
            </w:r>
            <w:proofErr w:type="spellStart"/>
            <w:r w:rsidRPr="008817C8">
              <w:rPr>
                <w:rFonts w:ascii="Times New Roman" w:eastAsia="Times New Roman" w:hAnsi="Times New Roman" w:cs="Times New Roman"/>
                <w:color w:val="000000" w:themeColor="text1"/>
                <w:lang w:eastAsia="fr-FR"/>
              </w:rPr>
              <w:t>annéé</w:t>
            </w:r>
            <w:proofErr w:type="spellEnd"/>
            <w:r w:rsidRPr="008817C8">
              <w:rPr>
                <w:rFonts w:ascii="Times New Roman" w:eastAsia="Times New Roman" w:hAnsi="Times New Roman" w:cs="Times New Roman"/>
                <w:color w:val="000000" w:themeColor="text1"/>
                <w:lang w:eastAsia="fr-FR"/>
              </w:rPr>
              <w:t xml:space="preserve"> 1)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472FE09C" w14:textId="157D83F1" w:rsidR="00B00643" w:rsidRPr="00687642" w:rsidRDefault="003E01D2" w:rsidP="008D7A30">
            <w:pPr>
              <w:rPr>
                <w:rFonts w:ascii="Calibri" w:eastAsia="Times New Roman" w:hAnsi="Calibri" w:cs="Calibri"/>
                <w:color w:val="000000"/>
                <w:lang w:eastAsia="fr-FR"/>
              </w:rPr>
            </w:pPr>
            <w:r>
              <w:rPr>
                <w:rFonts w:ascii="Calibri" w:eastAsia="Times New Roman" w:hAnsi="Calibri" w:cs="Calibri"/>
                <w:color w:val="000000"/>
                <w:lang w:eastAsia="fr-FR"/>
              </w:rPr>
              <w:t xml:space="preserve">Les aléas de la </w:t>
            </w:r>
            <w:r w:rsidR="00B00643" w:rsidRPr="00687642">
              <w:rPr>
                <w:rFonts w:ascii="Calibri" w:eastAsia="Times New Roman" w:hAnsi="Calibri" w:cs="Calibri"/>
                <w:color w:val="000000"/>
                <w:lang w:eastAsia="fr-FR"/>
              </w:rPr>
              <w:t>Pand</w:t>
            </w:r>
            <w:r>
              <w:rPr>
                <w:rFonts w:ascii="Calibri" w:eastAsia="Times New Roman" w:hAnsi="Calibri" w:cs="Calibri"/>
                <w:color w:val="000000"/>
                <w:lang w:eastAsia="fr-FR"/>
              </w:rPr>
              <w:t>é</w:t>
            </w:r>
            <w:r w:rsidR="00B00643" w:rsidRPr="00687642">
              <w:rPr>
                <w:rFonts w:ascii="Calibri" w:eastAsia="Times New Roman" w:hAnsi="Calibri" w:cs="Calibri"/>
                <w:color w:val="000000"/>
                <w:lang w:eastAsia="fr-FR"/>
              </w:rPr>
              <w:t>mie COVID 19</w:t>
            </w:r>
            <w:r>
              <w:rPr>
                <w:rFonts w:ascii="Calibri" w:eastAsia="Times New Roman" w:hAnsi="Calibri" w:cs="Calibri"/>
                <w:color w:val="000000"/>
                <w:lang w:eastAsia="fr-FR"/>
              </w:rPr>
              <w:t xml:space="preserve"> ont empêché le déroulement de cette activité</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9173" w14:textId="7C60C0D3" w:rsidR="00B00643" w:rsidRPr="00687642" w:rsidRDefault="00634A40" w:rsidP="004D7895">
            <w:pPr>
              <w:rPr>
                <w:rFonts w:ascii="Calibri" w:eastAsia="Times New Roman" w:hAnsi="Calibri" w:cs="Calibri"/>
                <w:color w:val="000000"/>
                <w:lang w:eastAsia="fr-FR"/>
              </w:rPr>
            </w:pPr>
            <w:r>
              <w:rPr>
                <w:rFonts w:ascii="Calibri" w:eastAsia="Times New Roman" w:hAnsi="Calibri" w:cs="Calibri"/>
                <w:color w:val="000000"/>
                <w:lang w:eastAsia="fr-FR"/>
              </w:rPr>
              <w:t xml:space="preserve">01 Enseignant de l’Université </w:t>
            </w:r>
            <w:proofErr w:type="spellStart"/>
            <w:r>
              <w:rPr>
                <w:rFonts w:ascii="Calibri" w:eastAsia="Times New Roman" w:hAnsi="Calibri" w:cs="Calibri"/>
                <w:color w:val="000000"/>
                <w:lang w:eastAsia="fr-FR"/>
              </w:rPr>
              <w:t>Abomé</w:t>
            </w:r>
            <w:proofErr w:type="spellEnd"/>
            <w:r>
              <w:rPr>
                <w:rFonts w:ascii="Calibri" w:eastAsia="Times New Roman" w:hAnsi="Calibri" w:cs="Calibri"/>
                <w:color w:val="000000"/>
                <w:lang w:eastAsia="fr-FR"/>
              </w:rPr>
              <w:t xml:space="preserve"> Calavi </w:t>
            </w:r>
            <w:r w:rsidR="00E342F7">
              <w:rPr>
                <w:rFonts w:ascii="Calibri" w:eastAsia="Times New Roman" w:hAnsi="Calibri" w:cs="Calibri"/>
                <w:color w:val="000000"/>
                <w:lang w:eastAsia="fr-FR"/>
              </w:rPr>
              <w:t>et 01 Enseignant de l’Université des Antilles sont</w:t>
            </w:r>
            <w:r>
              <w:rPr>
                <w:rFonts w:ascii="Calibri" w:eastAsia="Times New Roman" w:hAnsi="Calibri" w:cs="Calibri"/>
                <w:color w:val="000000"/>
                <w:lang w:eastAsia="fr-FR"/>
              </w:rPr>
              <w:t xml:space="preserve"> actuellement en séjour scientifique à l’UCAD</w:t>
            </w:r>
          </w:p>
        </w:tc>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094E9" w14:textId="780A32F9" w:rsidR="00B00643" w:rsidRPr="00687642" w:rsidRDefault="00634A40" w:rsidP="004D7895">
            <w:pPr>
              <w:rPr>
                <w:rFonts w:ascii="Calibri" w:eastAsia="Times New Roman" w:hAnsi="Calibri" w:cs="Calibri"/>
                <w:color w:val="000000"/>
                <w:lang w:eastAsia="fr-FR"/>
              </w:rPr>
            </w:pPr>
            <w:r>
              <w:rPr>
                <w:rFonts w:ascii="Calibri" w:eastAsia="Times New Roman" w:hAnsi="Calibri" w:cs="Calibri"/>
                <w:color w:val="000000"/>
                <w:lang w:eastAsia="fr-FR"/>
              </w:rPr>
              <w:t>Des appels seront lancés au niveau des universités</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D87F5" w14:textId="05018552" w:rsidR="00B00643" w:rsidRPr="00687642" w:rsidRDefault="00634A40" w:rsidP="00634A40">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Au moins 03 programmes de mobilité seront financés </w:t>
            </w:r>
          </w:p>
        </w:tc>
      </w:tr>
      <w:tr w:rsidR="00B00643" w:rsidRPr="002A4D17" w14:paraId="0E2A8B76" w14:textId="77777777" w:rsidTr="008D7A30">
        <w:trPr>
          <w:gridAfter w:val="1"/>
          <w:wAfter w:w="55" w:type="pct"/>
          <w:trHeight w:val="619"/>
        </w:trPr>
        <w:tc>
          <w:tcPr>
            <w:tcW w:w="4945" w:type="pct"/>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14:paraId="641F5CFF" w14:textId="77777777" w:rsidR="00B00643" w:rsidRPr="00687642" w:rsidRDefault="00B00643" w:rsidP="008D7A30">
            <w:pPr>
              <w:rPr>
                <w:rFonts w:ascii="Times New Roman" w:eastAsia="Times New Roman" w:hAnsi="Times New Roman" w:cs="Times New Roman"/>
                <w:b/>
                <w:bCs/>
                <w:i/>
                <w:iCs/>
                <w:color w:val="000000"/>
                <w:lang w:eastAsia="fr-FR"/>
              </w:rPr>
            </w:pPr>
          </w:p>
          <w:p w14:paraId="223F949B"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1e: Dispense des enseignements en PhD dans les universités</w:t>
            </w:r>
          </w:p>
          <w:p w14:paraId="7C34BC59"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r>
      <w:tr w:rsidR="00B00643" w:rsidRPr="002A4D17" w14:paraId="02A84AF6" w14:textId="77777777" w:rsidTr="008D7A30">
        <w:trPr>
          <w:gridAfter w:val="1"/>
          <w:wAfter w:w="55" w:type="pct"/>
          <w:trHeight w:val="928"/>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4DB5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Elaboration des curricula, production de modules de formation  </w:t>
            </w:r>
          </w:p>
        </w:tc>
        <w:tc>
          <w:tcPr>
            <w:tcW w:w="982" w:type="pct"/>
            <w:tcBorders>
              <w:top w:val="nil"/>
              <w:left w:val="nil"/>
              <w:bottom w:val="single" w:sz="4" w:space="0" w:color="auto"/>
              <w:right w:val="single" w:sz="4" w:space="0" w:color="auto"/>
            </w:tcBorders>
            <w:shd w:val="clear" w:color="auto" w:fill="auto"/>
            <w:vAlign w:val="center"/>
            <w:hideMark/>
          </w:tcPr>
          <w:p w14:paraId="33CFC8FD" w14:textId="018899CE" w:rsidR="00B00643" w:rsidRPr="00687642" w:rsidRDefault="003E01D2"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Pas d’obstacle</w:t>
            </w:r>
          </w:p>
        </w:tc>
        <w:tc>
          <w:tcPr>
            <w:tcW w:w="880" w:type="pct"/>
            <w:gridSpan w:val="2"/>
            <w:tcBorders>
              <w:top w:val="nil"/>
              <w:left w:val="nil"/>
              <w:bottom w:val="single" w:sz="4" w:space="0" w:color="auto"/>
              <w:right w:val="single" w:sz="4" w:space="0" w:color="auto"/>
            </w:tcBorders>
            <w:shd w:val="clear" w:color="auto" w:fill="auto"/>
            <w:vAlign w:val="center"/>
            <w:hideMark/>
          </w:tcPr>
          <w:p w14:paraId="455E5BB7" w14:textId="1938BAC5" w:rsidR="00B00643" w:rsidRPr="00687642" w:rsidRDefault="00B00643" w:rsidP="00634A4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Des ateliers ont été r</w:t>
            </w:r>
            <w:r w:rsidR="003E01D2">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alisés en 2021</w:t>
            </w:r>
          </w:p>
        </w:tc>
        <w:tc>
          <w:tcPr>
            <w:tcW w:w="1222" w:type="pct"/>
            <w:tcBorders>
              <w:top w:val="nil"/>
              <w:left w:val="nil"/>
              <w:bottom w:val="single" w:sz="4" w:space="0" w:color="auto"/>
              <w:right w:val="single" w:sz="4" w:space="0" w:color="auto"/>
            </w:tcBorders>
            <w:shd w:val="clear" w:color="auto" w:fill="auto"/>
            <w:vAlign w:val="center"/>
            <w:hideMark/>
          </w:tcPr>
          <w:p w14:paraId="4FF15219" w14:textId="3061E305" w:rsidR="00B00643" w:rsidRPr="00687642" w:rsidRDefault="00E342F7" w:rsidP="00E342F7">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Ces ateliers sont répertoriés et seront publiés. </w:t>
            </w:r>
            <w:r w:rsidR="00634A40" w:rsidRPr="00687642">
              <w:rPr>
                <w:rFonts w:ascii="Times New Roman" w:eastAsia="Times New Roman" w:hAnsi="Times New Roman" w:cs="Times New Roman"/>
                <w:color w:val="000000"/>
                <w:lang w:eastAsia="fr-FR"/>
              </w:rPr>
              <w:t xml:space="preserve"> </w:t>
            </w:r>
          </w:p>
        </w:tc>
        <w:tc>
          <w:tcPr>
            <w:tcW w:w="930" w:type="pct"/>
            <w:tcBorders>
              <w:top w:val="nil"/>
              <w:left w:val="nil"/>
              <w:bottom w:val="single" w:sz="4" w:space="0" w:color="auto"/>
              <w:right w:val="single" w:sz="4" w:space="0" w:color="auto"/>
            </w:tcBorders>
            <w:shd w:val="clear" w:color="auto" w:fill="auto"/>
            <w:vAlign w:val="center"/>
            <w:hideMark/>
          </w:tcPr>
          <w:p w14:paraId="77E76205" w14:textId="78D1B638"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342F7">
              <w:rPr>
                <w:rFonts w:ascii="Times New Roman" w:eastAsia="Times New Roman" w:hAnsi="Times New Roman" w:cs="Times New Roman"/>
                <w:color w:val="000000"/>
                <w:lang w:eastAsia="fr-FR"/>
              </w:rPr>
              <w:t>Au moins 01 atelier sera déroulé</w:t>
            </w:r>
          </w:p>
        </w:tc>
      </w:tr>
      <w:tr w:rsidR="00B00643" w:rsidRPr="002A4D17" w14:paraId="69BA7C54" w14:textId="77777777" w:rsidTr="008D7A30">
        <w:trPr>
          <w:gridAfter w:val="1"/>
          <w:wAfter w:w="55" w:type="pct"/>
          <w:trHeight w:val="619"/>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01330"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4: Prise en charge des enseignants régionaux et internationaux (PhD)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CBFDA" w14:textId="49F85E58"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066511">
              <w:rPr>
                <w:rFonts w:ascii="Times New Roman" w:eastAsia="Times New Roman" w:hAnsi="Times New Roman" w:cs="Times New Roman"/>
                <w:color w:val="000000"/>
                <w:lang w:eastAsia="fr-FR"/>
              </w:rPr>
              <w:t>L</w:t>
            </w:r>
            <w:r w:rsidR="00066511">
              <w:rPr>
                <w:rFonts w:ascii="Calibri" w:eastAsia="Times New Roman" w:hAnsi="Calibri" w:cs="Calibri"/>
                <w:color w:val="000000"/>
                <w:lang w:eastAsia="fr-FR"/>
              </w:rPr>
              <w:t xml:space="preserve">es aléas de la </w:t>
            </w:r>
            <w:r w:rsidR="00066511" w:rsidRPr="00687642">
              <w:rPr>
                <w:rFonts w:ascii="Calibri" w:eastAsia="Times New Roman" w:hAnsi="Calibri" w:cs="Calibri"/>
                <w:color w:val="000000"/>
                <w:lang w:eastAsia="fr-FR"/>
              </w:rPr>
              <w:t>Pand</w:t>
            </w:r>
            <w:r w:rsidR="00066511">
              <w:rPr>
                <w:rFonts w:ascii="Calibri" w:eastAsia="Times New Roman" w:hAnsi="Calibri" w:cs="Calibri"/>
                <w:color w:val="000000"/>
                <w:lang w:eastAsia="fr-FR"/>
              </w:rPr>
              <w:t>é</w:t>
            </w:r>
            <w:r w:rsidR="00066511" w:rsidRPr="00687642">
              <w:rPr>
                <w:rFonts w:ascii="Calibri" w:eastAsia="Times New Roman" w:hAnsi="Calibri" w:cs="Calibri"/>
                <w:color w:val="000000"/>
                <w:lang w:eastAsia="fr-FR"/>
              </w:rPr>
              <w:t>mie à COVID 19</w:t>
            </w:r>
            <w:r w:rsidR="00066511">
              <w:rPr>
                <w:rFonts w:ascii="Calibri" w:eastAsia="Times New Roman" w:hAnsi="Calibri" w:cs="Calibri"/>
                <w:color w:val="000000"/>
                <w:lang w:eastAsia="fr-FR"/>
              </w:rPr>
              <w:t xml:space="preserve"> ont empêché le déroulement de cette activité</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B8D681" w14:textId="418877BC"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342F7">
              <w:rPr>
                <w:rFonts w:ascii="Calibri" w:eastAsia="Times New Roman" w:hAnsi="Calibri" w:cs="Calibri"/>
                <w:color w:val="000000"/>
                <w:lang w:eastAsia="fr-FR"/>
              </w:rPr>
              <w:t xml:space="preserve">01 Enseignant de l’Université </w:t>
            </w:r>
            <w:proofErr w:type="spellStart"/>
            <w:r w:rsidR="00E342F7">
              <w:rPr>
                <w:rFonts w:ascii="Calibri" w:eastAsia="Times New Roman" w:hAnsi="Calibri" w:cs="Calibri"/>
                <w:color w:val="000000"/>
                <w:lang w:eastAsia="fr-FR"/>
              </w:rPr>
              <w:t>Abomé</w:t>
            </w:r>
            <w:proofErr w:type="spellEnd"/>
            <w:r w:rsidR="00E342F7">
              <w:rPr>
                <w:rFonts w:ascii="Calibri" w:eastAsia="Times New Roman" w:hAnsi="Calibri" w:cs="Calibri"/>
                <w:color w:val="000000"/>
                <w:lang w:eastAsia="fr-FR"/>
              </w:rPr>
              <w:t xml:space="preserve"> Calavi et 01 Enseignant de l’Université des Antilles sont actuellement en séjour scientifique à l’UCAD</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9D135" w14:textId="364F0D49" w:rsidR="00B00643" w:rsidRPr="00687642" w:rsidRDefault="00E342F7" w:rsidP="008D7A30">
            <w:pPr>
              <w:rPr>
                <w:rFonts w:ascii="Times New Roman" w:eastAsia="Times New Roman" w:hAnsi="Times New Roman" w:cs="Times New Roman"/>
                <w:color w:val="000000"/>
                <w:lang w:eastAsia="fr-FR"/>
              </w:rPr>
            </w:pPr>
            <w:r>
              <w:rPr>
                <w:rFonts w:ascii="Calibri" w:eastAsia="Times New Roman" w:hAnsi="Calibri" w:cs="Calibri"/>
                <w:color w:val="000000"/>
                <w:lang w:eastAsia="fr-FR"/>
              </w:rPr>
              <w:t>Des appels seront lancés au niveau des universités</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B9686" w14:textId="11BD7487" w:rsidR="00B00643" w:rsidRPr="00687642" w:rsidRDefault="00E342F7" w:rsidP="008D7A30">
            <w:pPr>
              <w:rPr>
                <w:rFonts w:ascii="Times New Roman" w:eastAsia="Times New Roman" w:hAnsi="Times New Roman" w:cs="Times New Roman"/>
                <w:color w:val="000000"/>
                <w:lang w:eastAsia="fr-FR"/>
              </w:rPr>
            </w:pPr>
            <w:r>
              <w:rPr>
                <w:rFonts w:ascii="Times New Roman" w:eastAsia="Times New Roman" w:hAnsi="Times New Roman" w:cs="Times New Roman"/>
                <w:lang w:eastAsia="fr-FR"/>
              </w:rPr>
              <w:t>Au moins 03 programmes de mobilité seront financés</w:t>
            </w:r>
          </w:p>
        </w:tc>
      </w:tr>
      <w:tr w:rsidR="00B00643" w:rsidRPr="002A4D17" w14:paraId="3B7A8D9E" w14:textId="77777777" w:rsidTr="008D7A30">
        <w:trPr>
          <w:gridAfter w:val="1"/>
          <w:wAfter w:w="55" w:type="pct"/>
          <w:trHeight w:val="619"/>
        </w:trPr>
        <w:tc>
          <w:tcPr>
            <w:tcW w:w="4945" w:type="pct"/>
            <w:gridSpan w:val="6"/>
            <w:tcBorders>
              <w:top w:val="nil"/>
              <w:left w:val="single" w:sz="4" w:space="0" w:color="auto"/>
              <w:bottom w:val="single" w:sz="4" w:space="0" w:color="auto"/>
              <w:right w:val="single" w:sz="4" w:space="0" w:color="auto"/>
            </w:tcBorders>
            <w:shd w:val="clear" w:color="000000" w:fill="D0CECE"/>
            <w:vAlign w:val="center"/>
            <w:hideMark/>
          </w:tcPr>
          <w:p w14:paraId="324080DA" w14:textId="77777777" w:rsidR="00B00643" w:rsidRPr="00687642" w:rsidRDefault="00B00643" w:rsidP="008D7A30">
            <w:pPr>
              <w:rPr>
                <w:rFonts w:ascii="Times New Roman" w:eastAsia="Times New Roman" w:hAnsi="Times New Roman" w:cs="Times New Roman"/>
                <w:b/>
                <w:bCs/>
                <w:i/>
                <w:iCs/>
                <w:color w:val="000000"/>
                <w:lang w:eastAsia="fr-FR"/>
              </w:rPr>
            </w:pPr>
          </w:p>
          <w:p w14:paraId="6F9BF8F8"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1f: Dispense des enseignements de la formation continue et de la formation à la carte</w:t>
            </w:r>
          </w:p>
          <w:p w14:paraId="4DAB30C3"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lastRenderedPageBreak/>
              <w:t> </w:t>
            </w:r>
          </w:p>
        </w:tc>
      </w:tr>
      <w:tr w:rsidR="00B00643" w:rsidRPr="002A4D17" w14:paraId="4335A1A9" w14:textId="77777777" w:rsidTr="008D7A30">
        <w:trPr>
          <w:gridAfter w:val="1"/>
          <w:wAfter w:w="55" w:type="pct"/>
          <w:trHeight w:val="1856"/>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7CC00"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lastRenderedPageBreak/>
              <w:t xml:space="preserve">Activité 1: Elaboration de curricula complémentaires et déroulement de formations pour l'appui technique aux acteurs des filières </w:t>
            </w:r>
          </w:p>
        </w:tc>
        <w:tc>
          <w:tcPr>
            <w:tcW w:w="982" w:type="pct"/>
            <w:tcBorders>
              <w:top w:val="nil"/>
              <w:left w:val="nil"/>
              <w:bottom w:val="single" w:sz="4" w:space="0" w:color="auto"/>
              <w:right w:val="single" w:sz="4" w:space="0" w:color="auto"/>
            </w:tcBorders>
            <w:shd w:val="clear" w:color="auto" w:fill="auto"/>
            <w:vAlign w:val="center"/>
            <w:hideMark/>
          </w:tcPr>
          <w:p w14:paraId="457A0187" w14:textId="2486C45D"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Pendant la p</w:t>
            </w:r>
            <w:r w:rsidR="00066511">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riode de covid19 aucun regroupement n'était possible. Cela a impacté négativement sur les formations techniques qui n</w:t>
            </w:r>
            <w:r w:rsidR="00066511">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cessite la pr</w:t>
            </w:r>
            <w:r w:rsidR="00066511">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sence des acteurs </w:t>
            </w:r>
          </w:p>
        </w:tc>
        <w:tc>
          <w:tcPr>
            <w:tcW w:w="880" w:type="pct"/>
            <w:gridSpan w:val="2"/>
            <w:tcBorders>
              <w:top w:val="nil"/>
              <w:left w:val="nil"/>
              <w:bottom w:val="single" w:sz="4" w:space="0" w:color="auto"/>
              <w:right w:val="single" w:sz="4" w:space="0" w:color="auto"/>
            </w:tcBorders>
            <w:shd w:val="clear" w:color="auto" w:fill="auto"/>
            <w:vAlign w:val="center"/>
            <w:hideMark/>
          </w:tcPr>
          <w:p w14:paraId="74997699" w14:textId="153C9B2E" w:rsidR="00B00643" w:rsidRPr="00687642" w:rsidRDefault="00B00643" w:rsidP="002B2516">
            <w:pPr>
              <w:jc w:val="both"/>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 r</w:t>
            </w:r>
            <w:r w:rsidR="00066511">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pertoire des formations courtes ciblant les acteurs du monde professionnel a été </w:t>
            </w:r>
            <w:r w:rsidR="00066511">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laboré. Les appels à manifestation d'int</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r</w:t>
            </w:r>
            <w:r w:rsidR="002B2516">
              <w:rPr>
                <w:rFonts w:ascii="Times New Roman" w:eastAsia="Times New Roman" w:hAnsi="Times New Roman" w:cs="Times New Roman"/>
                <w:color w:val="000000"/>
                <w:lang w:eastAsia="fr-FR"/>
              </w:rPr>
              <w:t>êt</w:t>
            </w:r>
            <w:r w:rsidRPr="00687642">
              <w:rPr>
                <w:rFonts w:ascii="Times New Roman" w:eastAsia="Times New Roman" w:hAnsi="Times New Roman" w:cs="Times New Roman"/>
                <w:color w:val="000000"/>
                <w:lang w:eastAsia="fr-FR"/>
              </w:rPr>
              <w:t xml:space="preserve"> seront lancés avant le 31 mai. </w:t>
            </w:r>
          </w:p>
        </w:tc>
        <w:tc>
          <w:tcPr>
            <w:tcW w:w="1222" w:type="pct"/>
            <w:tcBorders>
              <w:top w:val="nil"/>
              <w:left w:val="nil"/>
              <w:bottom w:val="single" w:sz="4" w:space="0" w:color="auto"/>
              <w:right w:val="single" w:sz="4" w:space="0" w:color="auto"/>
            </w:tcBorders>
            <w:shd w:val="clear" w:color="auto" w:fill="auto"/>
            <w:vAlign w:val="center"/>
            <w:hideMark/>
          </w:tcPr>
          <w:p w14:paraId="3E67D4A0"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Le responsable de la formation du CEA va assurer le suivi </w:t>
            </w:r>
          </w:p>
        </w:tc>
        <w:tc>
          <w:tcPr>
            <w:tcW w:w="930" w:type="pct"/>
            <w:tcBorders>
              <w:top w:val="nil"/>
              <w:left w:val="single" w:sz="4" w:space="0" w:color="auto"/>
              <w:bottom w:val="single" w:sz="4" w:space="0" w:color="auto"/>
              <w:right w:val="single" w:sz="4" w:space="0" w:color="auto"/>
            </w:tcBorders>
            <w:shd w:val="clear" w:color="auto" w:fill="auto"/>
            <w:vAlign w:val="center"/>
            <w:hideMark/>
          </w:tcPr>
          <w:p w14:paraId="3054E082" w14:textId="6CE04A6A"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Au moins un atelier de formation des acteurs est r</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alisé.</w:t>
            </w:r>
          </w:p>
        </w:tc>
      </w:tr>
      <w:tr w:rsidR="00B00643" w:rsidRPr="002A4D17" w14:paraId="43110840" w14:textId="77777777" w:rsidTr="008D7A30">
        <w:trPr>
          <w:trHeight w:val="310"/>
        </w:trPr>
        <w:tc>
          <w:tcPr>
            <w:tcW w:w="4945" w:type="pct"/>
            <w:gridSpan w:val="6"/>
            <w:tcBorders>
              <w:top w:val="single" w:sz="4" w:space="0" w:color="auto"/>
              <w:left w:val="nil"/>
              <w:bottom w:val="single" w:sz="4" w:space="0" w:color="auto"/>
              <w:right w:val="nil"/>
            </w:tcBorders>
            <w:shd w:val="clear" w:color="000000" w:fill="D0CECE"/>
            <w:noWrap/>
            <w:vAlign w:val="center"/>
            <w:hideMark/>
          </w:tcPr>
          <w:p w14:paraId="4E1E0274" w14:textId="77777777" w:rsidR="00B00643" w:rsidRPr="00687642" w:rsidRDefault="00B00643" w:rsidP="008D7A30">
            <w:pPr>
              <w:rPr>
                <w:rFonts w:ascii="Times New Roman" w:eastAsia="Times New Roman" w:hAnsi="Times New Roman" w:cs="Times New Roman"/>
                <w:b/>
                <w:bCs/>
                <w:i/>
                <w:iCs/>
                <w:color w:val="000000"/>
                <w:lang w:eastAsia="fr-FR"/>
              </w:rPr>
            </w:pPr>
          </w:p>
          <w:p w14:paraId="7051045D"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1g: Allocation de kits pédagogiques et de bourses d'étude et de recherche</w:t>
            </w:r>
          </w:p>
          <w:p w14:paraId="6F215706"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tcBorders>
              <w:top w:val="nil"/>
              <w:left w:val="nil"/>
              <w:bottom w:val="single" w:sz="4" w:space="0" w:color="auto"/>
              <w:right w:val="nil"/>
            </w:tcBorders>
            <w:shd w:val="clear" w:color="000000" w:fill="D0CECE"/>
            <w:noWrap/>
            <w:vAlign w:val="center"/>
            <w:hideMark/>
          </w:tcPr>
          <w:p w14:paraId="6D14691A" w14:textId="77777777" w:rsidR="00B00643" w:rsidRPr="002A4D17" w:rsidRDefault="00B00643" w:rsidP="008D7A30">
            <w:pPr>
              <w:rPr>
                <w:rFonts w:ascii="Times New Roman" w:eastAsia="Times New Roman" w:hAnsi="Times New Roman" w:cs="Times New Roman"/>
                <w:b/>
                <w:bCs/>
                <w:i/>
                <w:iCs/>
                <w:color w:val="000000"/>
                <w:lang w:eastAsia="fr-FR"/>
              </w:rPr>
            </w:pPr>
            <w:r w:rsidRPr="002A4D17">
              <w:rPr>
                <w:rFonts w:ascii="Times New Roman" w:eastAsia="Times New Roman" w:hAnsi="Times New Roman" w:cs="Times New Roman"/>
                <w:b/>
                <w:bCs/>
                <w:i/>
                <w:iCs/>
                <w:color w:val="000000"/>
                <w:lang w:eastAsia="fr-FR"/>
              </w:rPr>
              <w:t> </w:t>
            </w:r>
          </w:p>
        </w:tc>
      </w:tr>
      <w:tr w:rsidR="00B00643" w:rsidRPr="002A4D17" w14:paraId="0348F85C" w14:textId="77777777" w:rsidTr="008D7A30">
        <w:trPr>
          <w:trHeight w:val="2165"/>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D93E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bdr w:val="single" w:sz="4" w:space="0" w:color="auto"/>
                <w:lang w:eastAsia="fr-FR"/>
              </w:rPr>
              <w:t>Activité 3: Etudiants régionaux (Masters</w:t>
            </w:r>
            <w:r w:rsidRPr="00687642">
              <w:rPr>
                <w:rFonts w:ascii="Times New Roman" w:eastAsia="Times New Roman" w:hAnsi="Times New Roman" w:cs="Times New Roman"/>
                <w:color w:val="000000"/>
                <w:lang w:eastAsia="fr-FR"/>
              </w:rPr>
              <w:t xml:space="preserve">)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F31F9" w14:textId="2C2C0BB4"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Il n'y a pas eu d'</w:t>
            </w:r>
            <w:r w:rsidR="004D4611" w:rsidRPr="00687642">
              <w:rPr>
                <w:rFonts w:ascii="Times New Roman" w:eastAsia="Times New Roman" w:hAnsi="Times New Roman" w:cs="Times New Roman"/>
                <w:color w:val="000000"/>
                <w:lang w:eastAsia="fr-FR"/>
              </w:rPr>
              <w:t>obstacles</w:t>
            </w:r>
            <w:r w:rsidRPr="00687642">
              <w:rPr>
                <w:rFonts w:ascii="Times New Roman" w:eastAsia="Times New Roman" w:hAnsi="Times New Roman" w:cs="Times New Roman"/>
                <w:color w:val="000000"/>
                <w:lang w:eastAsia="fr-FR"/>
              </w:rPr>
              <w:t xml:space="preserve">. </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14:paraId="0DECF461"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Une première tranche a été versée aux primo-inscrits de 2019-2020 avec une discrimination positive pour les étudiants régionaux et le genre féminin.  Les ayant droit de 2020-2021 ont été identifiés et les virements se feront dans les prochains jours</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5667D553"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686FB1CF" w14:textId="454EA440" w:rsidR="00B00643" w:rsidRPr="00687642" w:rsidRDefault="007704BB" w:rsidP="007704BB">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subventions seront payés avant le 15 juin</w:t>
            </w:r>
            <w:r>
              <w:rPr>
                <w:rFonts w:ascii="Times New Roman" w:eastAsia="Times New Roman" w:hAnsi="Times New Roman" w:cs="Times New Roman"/>
                <w:color w:val="000000"/>
                <w:lang w:eastAsia="fr-FR"/>
              </w:rPr>
              <w:t xml:space="preserve"> 2022</w:t>
            </w:r>
          </w:p>
        </w:tc>
        <w:tc>
          <w:tcPr>
            <w:tcW w:w="55" w:type="pct"/>
            <w:vAlign w:val="center"/>
            <w:hideMark/>
          </w:tcPr>
          <w:p w14:paraId="2005382E"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5352D481" w14:textId="77777777" w:rsidTr="008D7A30">
        <w:trPr>
          <w:trHeight w:val="2165"/>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C850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4: Etudiants </w:t>
            </w:r>
            <w:r w:rsidRPr="00687642">
              <w:rPr>
                <w:rFonts w:ascii="Times New Roman" w:eastAsia="Times New Roman" w:hAnsi="Times New Roman" w:cs="Times New Roman"/>
                <w:color w:val="000000"/>
                <w:bdr w:val="single" w:sz="4" w:space="0" w:color="auto"/>
                <w:lang w:eastAsia="fr-FR"/>
              </w:rPr>
              <w:t>nationaux et régionaux (PhD)</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7A8A5" w14:textId="74FFFDBE"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Il n'y a pas eu d'</w:t>
            </w:r>
            <w:r w:rsidR="004D4611" w:rsidRPr="00687642">
              <w:rPr>
                <w:rFonts w:ascii="Times New Roman" w:eastAsia="Times New Roman" w:hAnsi="Times New Roman" w:cs="Times New Roman"/>
                <w:color w:val="000000"/>
                <w:lang w:eastAsia="fr-FR"/>
              </w:rPr>
              <w:t>obstacles</w:t>
            </w:r>
            <w:r w:rsidRPr="00687642">
              <w:rPr>
                <w:rFonts w:ascii="Times New Roman" w:eastAsia="Times New Roman" w:hAnsi="Times New Roman" w:cs="Times New Roman"/>
                <w:color w:val="000000"/>
                <w:lang w:eastAsia="fr-FR"/>
              </w:rPr>
              <w:t xml:space="preserve">. </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14:paraId="014DA9A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Une première tranche a été versée aux primo-inscrits de 2019-2020 avec une discrimination positive pour les étudiants régionaux et le genre féminin.  Les ayant droit de 2020-2021 </w:t>
            </w:r>
            <w:r w:rsidRPr="00687642">
              <w:rPr>
                <w:rFonts w:ascii="Times New Roman" w:eastAsia="Times New Roman" w:hAnsi="Times New Roman" w:cs="Times New Roman"/>
                <w:color w:val="000000"/>
                <w:lang w:eastAsia="fr-FR"/>
              </w:rPr>
              <w:lastRenderedPageBreak/>
              <w:t>ont été identifiés et les virements se feront dans les prochains jours</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1B71E168"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lastRenderedPageBreak/>
              <w:t> </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7AE10AAD" w14:textId="1BB661B4" w:rsidR="00B00643" w:rsidRPr="00687642" w:rsidRDefault="007704BB"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subventions seront payés avant le 15 juin</w:t>
            </w:r>
          </w:p>
        </w:tc>
        <w:tc>
          <w:tcPr>
            <w:tcW w:w="55" w:type="pct"/>
            <w:vAlign w:val="center"/>
            <w:hideMark/>
          </w:tcPr>
          <w:p w14:paraId="26638786"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8814519" w14:textId="77777777" w:rsidTr="008D7A30">
        <w:trPr>
          <w:trHeight w:val="619"/>
        </w:trPr>
        <w:tc>
          <w:tcPr>
            <w:tcW w:w="4945" w:type="pct"/>
            <w:gridSpan w:val="6"/>
            <w:tcBorders>
              <w:top w:val="nil"/>
              <w:left w:val="nil"/>
              <w:bottom w:val="single" w:sz="4" w:space="0" w:color="auto"/>
              <w:right w:val="nil"/>
            </w:tcBorders>
            <w:shd w:val="clear" w:color="000000" w:fill="D0CECE"/>
            <w:vAlign w:val="center"/>
            <w:hideMark/>
          </w:tcPr>
          <w:p w14:paraId="2BAF34E0" w14:textId="77777777" w:rsidR="00B00643" w:rsidRPr="00687642" w:rsidRDefault="00B00643" w:rsidP="008D7A30">
            <w:pPr>
              <w:rPr>
                <w:rFonts w:ascii="Times New Roman" w:eastAsia="Times New Roman" w:hAnsi="Times New Roman" w:cs="Times New Roman"/>
                <w:b/>
                <w:bCs/>
                <w:i/>
                <w:iCs/>
                <w:color w:val="000000"/>
                <w:lang w:eastAsia="fr-FR"/>
              </w:rPr>
            </w:pPr>
          </w:p>
          <w:p w14:paraId="7B8C514F"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1h: Bureau d'information, d'assistance et de placement des étudiants</w:t>
            </w:r>
          </w:p>
          <w:p w14:paraId="51183F08"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2A36EF26"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0C636509" w14:textId="77777777" w:rsidTr="008D7A30">
        <w:trPr>
          <w:trHeight w:val="2474"/>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7DB7"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Création d'un bureau de placement et de suivi des étudiants </w:t>
            </w:r>
          </w:p>
        </w:tc>
        <w:tc>
          <w:tcPr>
            <w:tcW w:w="982" w:type="pct"/>
            <w:tcBorders>
              <w:top w:val="nil"/>
              <w:left w:val="nil"/>
              <w:bottom w:val="single" w:sz="4" w:space="0" w:color="auto"/>
              <w:right w:val="single" w:sz="4" w:space="0" w:color="auto"/>
            </w:tcBorders>
            <w:shd w:val="clear" w:color="auto" w:fill="auto"/>
            <w:vAlign w:val="center"/>
            <w:hideMark/>
          </w:tcPr>
          <w:p w14:paraId="0897A0B6" w14:textId="2EE513CF"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Des dizaines d'</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tudiants ont été placés en stage dans des institutions publiques (institutions de recherches, laboratoires et universités). Cependant, la v</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rification ne prend pas en compte les stages dans les institutions publiques.</w:t>
            </w:r>
          </w:p>
        </w:tc>
        <w:tc>
          <w:tcPr>
            <w:tcW w:w="880" w:type="pct"/>
            <w:gridSpan w:val="2"/>
            <w:tcBorders>
              <w:top w:val="nil"/>
              <w:left w:val="nil"/>
              <w:bottom w:val="single" w:sz="4" w:space="0" w:color="auto"/>
              <w:right w:val="single" w:sz="4" w:space="0" w:color="auto"/>
            </w:tcBorders>
            <w:shd w:val="clear" w:color="auto" w:fill="auto"/>
            <w:vAlign w:val="center"/>
            <w:hideMark/>
          </w:tcPr>
          <w:p w14:paraId="3BFD27AE" w14:textId="362ADC9F"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Des bureaux d'insertion et de relation avec le monde professionnel ont été créés d</w:t>
            </w:r>
            <w:r w:rsidR="002B2516">
              <w:rPr>
                <w:rFonts w:ascii="Times New Roman" w:eastAsia="Times New Roman" w:hAnsi="Times New Roman" w:cs="Times New Roman"/>
                <w:color w:val="000000"/>
                <w:lang w:eastAsia="fr-FR"/>
              </w:rPr>
              <w:t>ans</w:t>
            </w:r>
            <w:r w:rsidRPr="00687642">
              <w:rPr>
                <w:rFonts w:ascii="Times New Roman" w:eastAsia="Times New Roman" w:hAnsi="Times New Roman" w:cs="Times New Roman"/>
                <w:color w:val="000000"/>
                <w:lang w:eastAsia="fr-FR"/>
              </w:rPr>
              <w:t xml:space="preserve"> les universités pour s'occuper des stages et placement des </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tudiants. Le CEA a pris contact avec les respons</w:t>
            </w:r>
            <w:r w:rsidR="002B2516">
              <w:rPr>
                <w:rFonts w:ascii="Times New Roman" w:eastAsia="Times New Roman" w:hAnsi="Times New Roman" w:cs="Times New Roman"/>
                <w:color w:val="000000"/>
                <w:lang w:eastAsia="fr-FR"/>
              </w:rPr>
              <w:t>a</w:t>
            </w:r>
            <w:r w:rsidRPr="00687642">
              <w:rPr>
                <w:rFonts w:ascii="Times New Roman" w:eastAsia="Times New Roman" w:hAnsi="Times New Roman" w:cs="Times New Roman"/>
                <w:color w:val="000000"/>
                <w:lang w:eastAsia="fr-FR"/>
              </w:rPr>
              <w:t>bles pour soutenir un plan d'actions en vue d'optimiser le placement en stage et l'insertion</w:t>
            </w:r>
          </w:p>
        </w:tc>
        <w:tc>
          <w:tcPr>
            <w:tcW w:w="1222" w:type="pct"/>
            <w:tcBorders>
              <w:top w:val="nil"/>
              <w:left w:val="nil"/>
              <w:bottom w:val="single" w:sz="4" w:space="0" w:color="auto"/>
              <w:right w:val="single" w:sz="4" w:space="0" w:color="auto"/>
            </w:tcBorders>
            <w:shd w:val="clear" w:color="auto" w:fill="auto"/>
            <w:vAlign w:val="center"/>
            <w:hideMark/>
          </w:tcPr>
          <w:p w14:paraId="79E81593" w14:textId="2C0DD294"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Des courriers seront adressés à la banque mondiale et à l'AUA pour une clarification sur les stages en vue de la comptabilisation de ceux réalisés dans les institutions publiques </w:t>
            </w:r>
          </w:p>
        </w:tc>
        <w:tc>
          <w:tcPr>
            <w:tcW w:w="930" w:type="pct"/>
            <w:tcBorders>
              <w:top w:val="nil"/>
              <w:left w:val="nil"/>
              <w:bottom w:val="single" w:sz="4" w:space="0" w:color="auto"/>
              <w:right w:val="single" w:sz="4" w:space="0" w:color="auto"/>
            </w:tcBorders>
            <w:shd w:val="clear" w:color="auto" w:fill="auto"/>
            <w:vAlign w:val="center"/>
            <w:hideMark/>
          </w:tcPr>
          <w:p w14:paraId="5790A0A9" w14:textId="35BF53EC"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courriers à l'AUA et à la Banque mondiale seront transmis avant le 04 juin</w:t>
            </w:r>
            <w:r w:rsidR="007704BB">
              <w:rPr>
                <w:rFonts w:ascii="Times New Roman" w:eastAsia="Times New Roman" w:hAnsi="Times New Roman" w:cs="Times New Roman"/>
                <w:color w:val="000000"/>
                <w:lang w:eastAsia="fr-FR"/>
              </w:rPr>
              <w:t xml:space="preserve"> 2022</w:t>
            </w:r>
          </w:p>
        </w:tc>
        <w:tc>
          <w:tcPr>
            <w:tcW w:w="55" w:type="pct"/>
            <w:vAlign w:val="center"/>
            <w:hideMark/>
          </w:tcPr>
          <w:p w14:paraId="627061C3"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4C6C3BF7" w14:textId="77777777" w:rsidTr="008D7A30">
        <w:trPr>
          <w:trHeight w:val="2474"/>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7D306"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lastRenderedPageBreak/>
              <w:t>Activité 2: Fonds d'impulsion à la création d'entreprise et à l'auto-entreprenariat</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7755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D03C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Activités planifiées pour le second semestre</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721FE" w14:textId="41AE02FD"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Renforcer les capacités de jeunes entrepreneurs à la r</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alisation de business plan </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ligibles pour la DER, FNPJ, etc. Organiser un concours pour les jeunes entrepreneurs afin de s</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lectionner et soutenir les plus avancés</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FDD4C" w14:textId="29A009C6" w:rsidR="00B00643" w:rsidRPr="00687642" w:rsidRDefault="00B00643" w:rsidP="008D7A30">
            <w:pPr>
              <w:rPr>
                <w:rFonts w:ascii="Times New Roman" w:eastAsia="Times New Roman" w:hAnsi="Times New Roman" w:cs="Times New Roman"/>
                <w:color w:val="000000"/>
                <w:lang w:eastAsia="fr-FR"/>
              </w:rPr>
            </w:pPr>
            <w:proofErr w:type="spellStart"/>
            <w:r w:rsidRPr="00687642">
              <w:rPr>
                <w:rFonts w:ascii="Times New Roman" w:eastAsia="Times New Roman" w:hAnsi="Times New Roman" w:cs="Times New Roman"/>
                <w:color w:val="000000"/>
                <w:lang w:eastAsia="fr-FR"/>
              </w:rPr>
              <w:t>E</w:t>
            </w:r>
            <w:r w:rsidR="008817C8">
              <w:rPr>
                <w:rFonts w:ascii="Times New Roman" w:eastAsia="Times New Roman" w:hAnsi="Times New Roman" w:cs="Times New Roman"/>
                <w:color w:val="000000"/>
                <w:lang w:eastAsia="fr-FR"/>
              </w:rPr>
              <w:t>Une</w:t>
            </w:r>
            <w:proofErr w:type="spellEnd"/>
            <w:r w:rsidR="008817C8">
              <w:rPr>
                <w:rFonts w:ascii="Times New Roman" w:eastAsia="Times New Roman" w:hAnsi="Times New Roman" w:cs="Times New Roman"/>
                <w:color w:val="000000"/>
                <w:lang w:eastAsia="fr-FR"/>
              </w:rPr>
              <w:t xml:space="preserve"> </w:t>
            </w:r>
            <w:proofErr w:type="spellStart"/>
            <w:r w:rsidRPr="00687642">
              <w:rPr>
                <w:rFonts w:ascii="Times New Roman" w:eastAsia="Times New Roman" w:hAnsi="Times New Roman" w:cs="Times New Roman"/>
                <w:color w:val="000000"/>
                <w:lang w:eastAsia="fr-FR"/>
              </w:rPr>
              <w:t>nqu</w:t>
            </w:r>
            <w:r w:rsidR="002B2516">
              <w:rPr>
                <w:rFonts w:ascii="Times New Roman" w:eastAsia="Times New Roman" w:hAnsi="Times New Roman" w:cs="Times New Roman"/>
                <w:color w:val="000000"/>
                <w:lang w:eastAsia="fr-FR"/>
              </w:rPr>
              <w:t>ê</w:t>
            </w:r>
            <w:r w:rsidRPr="00687642">
              <w:rPr>
                <w:rFonts w:ascii="Times New Roman" w:eastAsia="Times New Roman" w:hAnsi="Times New Roman" w:cs="Times New Roman"/>
                <w:color w:val="000000"/>
                <w:lang w:eastAsia="fr-FR"/>
              </w:rPr>
              <w:t>te</w:t>
            </w:r>
            <w:proofErr w:type="spellEnd"/>
            <w:r w:rsidRPr="00687642">
              <w:rPr>
                <w:rFonts w:ascii="Times New Roman" w:eastAsia="Times New Roman" w:hAnsi="Times New Roman" w:cs="Times New Roman"/>
                <w:color w:val="000000"/>
                <w:lang w:eastAsia="fr-FR"/>
              </w:rPr>
              <w:t xml:space="preserve"> sur les jeunes entrepreneurs et </w:t>
            </w:r>
            <w:r w:rsidR="008817C8">
              <w:rPr>
                <w:rFonts w:ascii="Times New Roman" w:eastAsia="Times New Roman" w:hAnsi="Times New Roman" w:cs="Times New Roman"/>
                <w:color w:val="000000"/>
                <w:lang w:eastAsia="fr-FR"/>
              </w:rPr>
              <w:t xml:space="preserve">leurs </w:t>
            </w:r>
            <w:r w:rsidRPr="00687642">
              <w:rPr>
                <w:rFonts w:ascii="Times New Roman" w:eastAsia="Times New Roman" w:hAnsi="Times New Roman" w:cs="Times New Roman"/>
                <w:color w:val="000000"/>
                <w:lang w:eastAsia="fr-FR"/>
              </w:rPr>
              <w:t>besoins de formation, formation à l'</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laboration d'un business plan </w:t>
            </w:r>
          </w:p>
        </w:tc>
        <w:tc>
          <w:tcPr>
            <w:tcW w:w="55" w:type="pct"/>
            <w:tcBorders>
              <w:left w:val="single" w:sz="4" w:space="0" w:color="auto"/>
            </w:tcBorders>
            <w:vAlign w:val="center"/>
            <w:hideMark/>
          </w:tcPr>
          <w:p w14:paraId="14098627"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6F6A98DB" w14:textId="77777777" w:rsidTr="008D7A30">
        <w:trPr>
          <w:trHeight w:val="481"/>
        </w:trPr>
        <w:tc>
          <w:tcPr>
            <w:tcW w:w="4945" w:type="pct"/>
            <w:gridSpan w:val="6"/>
            <w:tcBorders>
              <w:top w:val="single" w:sz="4" w:space="0" w:color="auto"/>
              <w:left w:val="nil"/>
              <w:bottom w:val="single" w:sz="4" w:space="0" w:color="auto"/>
              <w:right w:val="nil"/>
            </w:tcBorders>
            <w:shd w:val="clear" w:color="000000" w:fill="D0CECE"/>
            <w:noWrap/>
            <w:vAlign w:val="center"/>
            <w:hideMark/>
          </w:tcPr>
          <w:p w14:paraId="6F455C9A" w14:textId="77777777" w:rsidR="00B00643" w:rsidRDefault="00B00643" w:rsidP="008D7A30">
            <w:pPr>
              <w:rPr>
                <w:rFonts w:ascii="Times New Roman" w:eastAsia="Times New Roman" w:hAnsi="Times New Roman" w:cs="Times New Roman"/>
                <w:b/>
                <w:bCs/>
                <w:i/>
                <w:iCs/>
                <w:color w:val="000000"/>
                <w:lang w:eastAsia="fr-FR"/>
              </w:rPr>
            </w:pPr>
          </w:p>
          <w:p w14:paraId="52FE7309"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1i: Politique de genre</w:t>
            </w:r>
          </w:p>
          <w:p w14:paraId="068FFA1D"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5C7AD5D8"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6F201458" w14:textId="77777777" w:rsidTr="008D7A30">
        <w:trPr>
          <w:trHeight w:val="1856"/>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6FE2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1: Mise en œuvre d'une politique de genre (</w:t>
            </w:r>
            <w:proofErr w:type="spellStart"/>
            <w:r w:rsidRPr="00687642">
              <w:rPr>
                <w:rFonts w:ascii="Times New Roman" w:eastAsia="Times New Roman" w:hAnsi="Times New Roman" w:cs="Times New Roman"/>
                <w:color w:val="000000"/>
                <w:lang w:eastAsia="fr-FR"/>
              </w:rPr>
              <w:t>systéme</w:t>
            </w:r>
            <w:proofErr w:type="spellEnd"/>
            <w:r w:rsidRPr="00687642">
              <w:rPr>
                <w:rFonts w:ascii="Times New Roman" w:eastAsia="Times New Roman" w:hAnsi="Times New Roman" w:cs="Times New Roman"/>
                <w:color w:val="000000"/>
                <w:lang w:eastAsia="fr-FR"/>
              </w:rPr>
              <w:t xml:space="preserve"> de mentorat) </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5B00C38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14:paraId="475B10ED"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Activités planifiées pour le second semestre</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0BA534FC" w14:textId="1152AEEF" w:rsidR="00B00643" w:rsidRPr="00687642" w:rsidRDefault="002B2516"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L’UCAD a déroulé des activités de mentorat ciblant les jeunes étudiantes. </w:t>
            </w:r>
            <w:r w:rsidR="00B00643" w:rsidRPr="00687642">
              <w:rPr>
                <w:rFonts w:ascii="Times New Roman" w:eastAsia="Times New Roman" w:hAnsi="Times New Roman" w:cs="Times New Roman"/>
                <w:color w:val="000000"/>
                <w:lang w:eastAsia="fr-FR"/>
              </w:rPr>
              <w:t>Une formation des jeunes filles sur le genre, la lutte contre le harc</w:t>
            </w:r>
            <w:r>
              <w:rPr>
                <w:rFonts w:ascii="Times New Roman" w:eastAsia="Times New Roman" w:hAnsi="Times New Roman" w:cs="Times New Roman"/>
                <w:color w:val="000000"/>
                <w:lang w:eastAsia="fr-FR"/>
              </w:rPr>
              <w:t>èle</w:t>
            </w:r>
            <w:r w:rsidR="00B00643" w:rsidRPr="00687642">
              <w:rPr>
                <w:rFonts w:ascii="Times New Roman" w:eastAsia="Times New Roman" w:hAnsi="Times New Roman" w:cs="Times New Roman"/>
                <w:color w:val="000000"/>
                <w:lang w:eastAsia="fr-FR"/>
              </w:rPr>
              <w:t xml:space="preserve">ment sexuel et la </w:t>
            </w:r>
            <w:proofErr w:type="spellStart"/>
            <w:r w:rsidR="00B00643" w:rsidRPr="00687642">
              <w:rPr>
                <w:rFonts w:ascii="Times New Roman" w:eastAsia="Times New Roman" w:hAnsi="Times New Roman" w:cs="Times New Roman"/>
                <w:color w:val="000000"/>
                <w:lang w:eastAsia="fr-FR"/>
              </w:rPr>
              <w:t>vi</w:t>
            </w:r>
            <w:r>
              <w:rPr>
                <w:rFonts w:ascii="Times New Roman" w:eastAsia="Times New Roman" w:hAnsi="Times New Roman" w:cs="Times New Roman"/>
                <w:color w:val="000000"/>
                <w:lang w:eastAsia="fr-FR"/>
              </w:rPr>
              <w:t>gil</w:t>
            </w:r>
            <w:r w:rsidR="00B00643" w:rsidRPr="00687642">
              <w:rPr>
                <w:rFonts w:ascii="Times New Roman" w:eastAsia="Times New Roman" w:hAnsi="Times New Roman" w:cs="Times New Roman"/>
                <w:color w:val="000000"/>
                <w:lang w:eastAsia="fr-FR"/>
              </w:rPr>
              <w:t>ence</w:t>
            </w:r>
            <w:proofErr w:type="spellEnd"/>
            <w:r w:rsidR="00B00643" w:rsidRPr="00687642">
              <w:rPr>
                <w:rFonts w:ascii="Times New Roman" w:eastAsia="Times New Roman" w:hAnsi="Times New Roman" w:cs="Times New Roman"/>
                <w:color w:val="000000"/>
                <w:lang w:eastAsia="fr-FR"/>
              </w:rPr>
              <w:t xml:space="preserve"> liée au genre est effectuée avant fin aout, les </w:t>
            </w:r>
            <w:r>
              <w:rPr>
                <w:rFonts w:ascii="Times New Roman" w:eastAsia="Times New Roman" w:hAnsi="Times New Roman" w:cs="Times New Roman"/>
                <w:color w:val="000000"/>
                <w:lang w:eastAsia="fr-FR"/>
              </w:rPr>
              <w:t>ét</w:t>
            </w:r>
            <w:r w:rsidR="00B00643" w:rsidRPr="00687642">
              <w:rPr>
                <w:rFonts w:ascii="Times New Roman" w:eastAsia="Times New Roman" w:hAnsi="Times New Roman" w:cs="Times New Roman"/>
                <w:color w:val="000000"/>
                <w:lang w:eastAsia="fr-FR"/>
              </w:rPr>
              <w:t>udiantes r</w:t>
            </w:r>
            <w:r>
              <w:rPr>
                <w:rFonts w:ascii="Times New Roman" w:eastAsia="Times New Roman" w:hAnsi="Times New Roman" w:cs="Times New Roman"/>
                <w:color w:val="000000"/>
                <w:lang w:eastAsia="fr-FR"/>
              </w:rPr>
              <w:t>é</w:t>
            </w:r>
            <w:r w:rsidR="00B00643" w:rsidRPr="00687642">
              <w:rPr>
                <w:rFonts w:ascii="Times New Roman" w:eastAsia="Times New Roman" w:hAnsi="Times New Roman" w:cs="Times New Roman"/>
                <w:color w:val="000000"/>
                <w:lang w:eastAsia="fr-FR"/>
              </w:rPr>
              <w:t>gionales sont r</w:t>
            </w:r>
            <w:r>
              <w:rPr>
                <w:rFonts w:ascii="Times New Roman" w:eastAsia="Times New Roman" w:hAnsi="Times New Roman" w:cs="Times New Roman"/>
                <w:color w:val="000000"/>
                <w:lang w:eastAsia="fr-FR"/>
              </w:rPr>
              <w:t>é</w:t>
            </w:r>
            <w:r w:rsidR="00B00643" w:rsidRPr="00687642">
              <w:rPr>
                <w:rFonts w:ascii="Times New Roman" w:eastAsia="Times New Roman" w:hAnsi="Times New Roman" w:cs="Times New Roman"/>
                <w:color w:val="000000"/>
                <w:lang w:eastAsia="fr-FR"/>
              </w:rPr>
              <w:t xml:space="preserve">pertoriées et </w:t>
            </w:r>
            <w:proofErr w:type="spellStart"/>
            <w:r w:rsidR="00B00643" w:rsidRPr="00687642">
              <w:rPr>
                <w:rFonts w:ascii="Times New Roman" w:eastAsia="Times New Roman" w:hAnsi="Times New Roman" w:cs="Times New Roman"/>
                <w:color w:val="000000"/>
                <w:lang w:eastAsia="fr-FR"/>
              </w:rPr>
              <w:t>enrolées</w:t>
            </w:r>
            <w:proofErr w:type="spellEnd"/>
            <w:r w:rsidR="00B00643" w:rsidRPr="00687642">
              <w:rPr>
                <w:rFonts w:ascii="Times New Roman" w:eastAsia="Times New Roman" w:hAnsi="Times New Roman" w:cs="Times New Roman"/>
                <w:color w:val="000000"/>
                <w:lang w:eastAsia="fr-FR"/>
              </w:rPr>
              <w:t xml:space="preserve"> dans un programme de mentoring</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5BEE55B4" w14:textId="3ECEFDA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Recensement des </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tudiantes r</w:t>
            </w:r>
            <w:r w:rsidR="002B2516">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gionales et identification p</w:t>
            </w:r>
            <w:r w:rsidR="007704BB">
              <w:rPr>
                <w:rFonts w:ascii="Times New Roman" w:eastAsia="Times New Roman" w:hAnsi="Times New Roman" w:cs="Times New Roman"/>
                <w:color w:val="000000"/>
                <w:lang w:eastAsia="fr-FR"/>
              </w:rPr>
              <w:t>our</w:t>
            </w:r>
            <w:r w:rsidRPr="00687642">
              <w:rPr>
                <w:rFonts w:ascii="Times New Roman" w:eastAsia="Times New Roman" w:hAnsi="Times New Roman" w:cs="Times New Roman"/>
                <w:color w:val="000000"/>
                <w:lang w:eastAsia="fr-FR"/>
              </w:rPr>
              <w:t xml:space="preserve"> elles de mentors potentiel puis mise en relation par le CEA </w:t>
            </w:r>
          </w:p>
        </w:tc>
        <w:tc>
          <w:tcPr>
            <w:tcW w:w="55" w:type="pct"/>
            <w:vAlign w:val="center"/>
            <w:hideMark/>
          </w:tcPr>
          <w:p w14:paraId="615AB008"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D87D990" w14:textId="77777777" w:rsidTr="008D7A30">
        <w:trPr>
          <w:trHeight w:val="556"/>
        </w:trPr>
        <w:tc>
          <w:tcPr>
            <w:tcW w:w="4945" w:type="pct"/>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CB97452" w14:textId="77777777" w:rsidR="00B00643" w:rsidRDefault="00B00643" w:rsidP="008D7A30">
            <w:pPr>
              <w:rPr>
                <w:rFonts w:ascii="Times New Roman" w:eastAsia="Times New Roman" w:hAnsi="Times New Roman" w:cs="Times New Roman"/>
                <w:b/>
                <w:bCs/>
                <w:i/>
                <w:iCs/>
                <w:color w:val="000000"/>
                <w:lang w:eastAsia="fr-FR"/>
              </w:rPr>
            </w:pPr>
          </w:p>
          <w:p w14:paraId="31B04D79"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1j: Accréditation et certification du centre</w:t>
            </w:r>
          </w:p>
          <w:p w14:paraId="5398F312"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tcBorders>
              <w:left w:val="single" w:sz="4" w:space="0" w:color="auto"/>
            </w:tcBorders>
            <w:vAlign w:val="center"/>
            <w:hideMark/>
          </w:tcPr>
          <w:p w14:paraId="2DB1EAC2"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577ED8E" w14:textId="77777777" w:rsidTr="008D7A30">
        <w:trPr>
          <w:trHeight w:val="3402"/>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22EE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lastRenderedPageBreak/>
              <w:t xml:space="preserve">Activité 1: Accréditation et certification nationales des programmes du centre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71BEE3C1" w14:textId="2C35BA47" w:rsidR="00B00643" w:rsidRPr="00687642" w:rsidRDefault="008B152E"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Les délais pour l’évaluation </w:t>
            </w:r>
            <w:r w:rsidR="00B00643" w:rsidRPr="00687642">
              <w:rPr>
                <w:rFonts w:ascii="Times New Roman" w:eastAsia="Times New Roman" w:hAnsi="Times New Roman" w:cs="Times New Roman"/>
                <w:color w:val="000000"/>
                <w:lang w:eastAsia="fr-FR"/>
              </w:rPr>
              <w:t xml:space="preserve"> </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14:paraId="4334630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Dix formations retenues dans les 04 universités vont se préparer à l'autoévaluation pour le processus d'évaluation externe. </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4BC76CB1" w14:textId="6713981B"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 CEA prend en charge les frais d'accr</w:t>
            </w:r>
            <w:r w:rsidR="008B152E">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ditation des formations. Il a aussi saisi l'ANAQSUP et a eu l'aval pour écourter les d</w:t>
            </w:r>
            <w:r w:rsidR="008B152E">
              <w:rPr>
                <w:rFonts w:ascii="Times New Roman" w:eastAsia="Times New Roman" w:hAnsi="Times New Roman" w:cs="Times New Roman"/>
                <w:color w:val="000000"/>
                <w:lang w:eastAsia="fr-FR"/>
              </w:rPr>
              <w:t>él</w:t>
            </w:r>
            <w:r w:rsidRPr="00687642">
              <w:rPr>
                <w:rFonts w:ascii="Times New Roman" w:eastAsia="Times New Roman" w:hAnsi="Times New Roman" w:cs="Times New Roman"/>
                <w:color w:val="000000"/>
                <w:lang w:eastAsia="fr-FR"/>
              </w:rPr>
              <w:t>ais afin d'arriver à une évaluation externe 2 mois après d</w:t>
            </w:r>
            <w:r w:rsidR="008B152E">
              <w:rPr>
                <w:rFonts w:ascii="Times New Roman" w:eastAsia="Times New Roman" w:hAnsi="Times New Roman" w:cs="Times New Roman"/>
                <w:color w:val="000000"/>
                <w:lang w:eastAsia="fr-FR"/>
              </w:rPr>
              <w:t>épô</w:t>
            </w:r>
            <w:r w:rsidRPr="00687642">
              <w:rPr>
                <w:rFonts w:ascii="Times New Roman" w:eastAsia="Times New Roman" w:hAnsi="Times New Roman" w:cs="Times New Roman"/>
                <w:color w:val="000000"/>
                <w:lang w:eastAsia="fr-FR"/>
              </w:rPr>
              <w:t>t du rapport d'auto</w:t>
            </w:r>
            <w:r w:rsidR="008B152E">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valuation. Les responsables des formations ont été saisis  pour mettre à profit le soutien du CEA et r</w:t>
            </w:r>
            <w:r w:rsidR="008B152E">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aliser un plan d'actions devant aboutir au rapport d'auto</w:t>
            </w:r>
            <w:r w:rsidR="008B152E">
              <w:rPr>
                <w:rFonts w:ascii="Times New Roman" w:eastAsia="Times New Roman" w:hAnsi="Times New Roman" w:cs="Times New Roman"/>
                <w:color w:val="000000"/>
                <w:lang w:eastAsia="fr-FR"/>
              </w:rPr>
              <w:t>év</w:t>
            </w:r>
            <w:r w:rsidRPr="00687642">
              <w:rPr>
                <w:rFonts w:ascii="Times New Roman" w:eastAsia="Times New Roman" w:hAnsi="Times New Roman" w:cs="Times New Roman"/>
                <w:color w:val="000000"/>
                <w:lang w:eastAsia="fr-FR"/>
              </w:rPr>
              <w:t>aluation en fin juin</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18CC8" w14:textId="3ABF1405"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dossiers demandes formelles d'accr</w:t>
            </w:r>
            <w:r w:rsidR="008B152E">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ditation des formations signées par les recteurs sont déposés auprès de l'ANAQSUP, les rapports d'auto</w:t>
            </w:r>
            <w:r w:rsidR="008B152E">
              <w:rPr>
                <w:rFonts w:ascii="Times New Roman" w:eastAsia="Times New Roman" w:hAnsi="Times New Roman" w:cs="Times New Roman"/>
                <w:color w:val="000000"/>
                <w:lang w:eastAsia="fr-FR"/>
              </w:rPr>
              <w:t>é</w:t>
            </w:r>
            <w:r w:rsidRPr="00687642">
              <w:rPr>
                <w:rFonts w:ascii="Times New Roman" w:eastAsia="Times New Roman" w:hAnsi="Times New Roman" w:cs="Times New Roman"/>
                <w:color w:val="000000"/>
                <w:lang w:eastAsia="fr-FR"/>
              </w:rPr>
              <w:t xml:space="preserve">valuation sont déposés le 31 juillet </w:t>
            </w:r>
            <w:r w:rsidR="00DB6331">
              <w:rPr>
                <w:rFonts w:ascii="Times New Roman" w:eastAsia="Times New Roman" w:hAnsi="Times New Roman" w:cs="Times New Roman"/>
                <w:color w:val="000000"/>
                <w:lang w:eastAsia="fr-FR"/>
              </w:rPr>
              <w:t xml:space="preserve">2022 </w:t>
            </w:r>
            <w:r w:rsidRPr="00687642">
              <w:rPr>
                <w:rFonts w:ascii="Times New Roman" w:eastAsia="Times New Roman" w:hAnsi="Times New Roman" w:cs="Times New Roman"/>
                <w:color w:val="000000"/>
                <w:lang w:eastAsia="fr-FR"/>
              </w:rPr>
              <w:t>au plus tard</w:t>
            </w:r>
          </w:p>
        </w:tc>
        <w:tc>
          <w:tcPr>
            <w:tcW w:w="55" w:type="pct"/>
            <w:vAlign w:val="center"/>
            <w:hideMark/>
          </w:tcPr>
          <w:p w14:paraId="1CA29D44"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5B4634F1" w14:textId="77777777" w:rsidTr="008D7A30">
        <w:trPr>
          <w:trHeight w:val="928"/>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12EBD"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2: Accréditation et certification régionales des programmes du centre </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4DCACD72" w14:textId="0B93AA34"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8B152E" w:rsidRPr="00687642">
              <w:rPr>
                <w:rFonts w:ascii="Times New Roman" w:eastAsia="Times New Roman" w:hAnsi="Times New Roman" w:cs="Times New Roman"/>
                <w:color w:val="000000"/>
                <w:lang w:eastAsia="fr-FR"/>
              </w:rPr>
              <w:t>Au Sénégal, les accréditations régionale et internationale sont condition</w:t>
            </w:r>
            <w:r w:rsidR="000D0A72">
              <w:rPr>
                <w:rFonts w:ascii="Times New Roman" w:eastAsia="Times New Roman" w:hAnsi="Times New Roman" w:cs="Times New Roman"/>
                <w:color w:val="000000"/>
                <w:lang w:eastAsia="fr-FR"/>
              </w:rPr>
              <w:t>n</w:t>
            </w:r>
            <w:r w:rsidR="008B152E" w:rsidRPr="00687642">
              <w:rPr>
                <w:rFonts w:ascii="Times New Roman" w:eastAsia="Times New Roman" w:hAnsi="Times New Roman" w:cs="Times New Roman"/>
                <w:color w:val="000000"/>
                <w:lang w:eastAsia="fr-FR"/>
              </w:rPr>
              <w:t>ées par l'ac</w:t>
            </w:r>
            <w:r w:rsidR="000D0A72">
              <w:rPr>
                <w:rFonts w:ascii="Times New Roman" w:eastAsia="Times New Roman" w:hAnsi="Times New Roman" w:cs="Times New Roman"/>
                <w:color w:val="000000"/>
                <w:lang w:eastAsia="fr-FR"/>
              </w:rPr>
              <w:t>c</w:t>
            </w:r>
            <w:r w:rsidR="008B152E" w:rsidRPr="00687642">
              <w:rPr>
                <w:rFonts w:ascii="Times New Roman" w:eastAsia="Times New Roman" w:hAnsi="Times New Roman" w:cs="Times New Roman"/>
                <w:color w:val="000000"/>
                <w:lang w:eastAsia="fr-FR"/>
              </w:rPr>
              <w:t>réditation nationale par l'ANAQ SUP.</w:t>
            </w:r>
          </w:p>
        </w:tc>
        <w:tc>
          <w:tcPr>
            <w:tcW w:w="8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385E8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14:paraId="258EA819"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6CD39F1F" w14:textId="77777777" w:rsidR="00B00643" w:rsidRPr="00687642" w:rsidRDefault="00B00643" w:rsidP="008D7A30">
            <w:pPr>
              <w:rPr>
                <w:rFonts w:ascii="Times New Roman" w:eastAsia="Times New Roman" w:hAnsi="Times New Roman" w:cs="Times New Roman"/>
                <w:color w:val="000000"/>
                <w:lang w:eastAsia="fr-FR"/>
              </w:rPr>
            </w:pPr>
          </w:p>
        </w:tc>
        <w:tc>
          <w:tcPr>
            <w:tcW w:w="55" w:type="pct"/>
            <w:vAlign w:val="center"/>
            <w:hideMark/>
          </w:tcPr>
          <w:p w14:paraId="0D8C5283"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59ADF616" w14:textId="77777777" w:rsidTr="008D7A30">
        <w:trPr>
          <w:trHeight w:val="1281"/>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9FB16"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3: Accréditation et certification internationale des programmes du centre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0FD2464C" w14:textId="16A48F70"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Au Sénégal, les accréditations régionale et internationale sont conditio</w:t>
            </w:r>
            <w:r w:rsidR="000D0A72">
              <w:rPr>
                <w:rFonts w:ascii="Times New Roman" w:eastAsia="Times New Roman" w:hAnsi="Times New Roman" w:cs="Times New Roman"/>
                <w:color w:val="000000"/>
                <w:lang w:eastAsia="fr-FR"/>
              </w:rPr>
              <w:t>n</w:t>
            </w:r>
            <w:r w:rsidRPr="00687642">
              <w:rPr>
                <w:rFonts w:ascii="Times New Roman" w:eastAsia="Times New Roman" w:hAnsi="Times New Roman" w:cs="Times New Roman"/>
                <w:color w:val="000000"/>
                <w:lang w:eastAsia="fr-FR"/>
              </w:rPr>
              <w:t>nées par l'a</w:t>
            </w:r>
            <w:r w:rsidR="000D0A72">
              <w:rPr>
                <w:rFonts w:ascii="Times New Roman" w:eastAsia="Times New Roman" w:hAnsi="Times New Roman" w:cs="Times New Roman"/>
                <w:color w:val="000000"/>
                <w:lang w:eastAsia="fr-FR"/>
              </w:rPr>
              <w:t>c</w:t>
            </w:r>
            <w:r w:rsidRPr="00687642">
              <w:rPr>
                <w:rFonts w:ascii="Times New Roman" w:eastAsia="Times New Roman" w:hAnsi="Times New Roman" w:cs="Times New Roman"/>
                <w:color w:val="000000"/>
                <w:lang w:eastAsia="fr-FR"/>
              </w:rPr>
              <w:t>créditation nationale par l'ANAQ SUP.</w:t>
            </w:r>
          </w:p>
        </w:tc>
        <w:tc>
          <w:tcPr>
            <w:tcW w:w="8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DF9A2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14:paraId="6D292A5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5F49846C" w14:textId="77777777" w:rsidR="00B00643" w:rsidRPr="00687642" w:rsidRDefault="00B00643" w:rsidP="008D7A30">
            <w:pPr>
              <w:rPr>
                <w:rFonts w:ascii="Times New Roman" w:eastAsia="Times New Roman" w:hAnsi="Times New Roman" w:cs="Times New Roman"/>
                <w:color w:val="000000"/>
                <w:lang w:eastAsia="fr-FR"/>
              </w:rPr>
            </w:pPr>
          </w:p>
        </w:tc>
        <w:tc>
          <w:tcPr>
            <w:tcW w:w="55" w:type="pct"/>
            <w:vAlign w:val="center"/>
            <w:hideMark/>
          </w:tcPr>
          <w:p w14:paraId="226A0E29"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7016CD86" w14:textId="77777777" w:rsidTr="008D7A30">
        <w:trPr>
          <w:trHeight w:val="1547"/>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696D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4: Accréditation et certification institutionnelle</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3A96733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Il n'y a pas eu d'obstacle. L'accréditation institutionnelle est prévue pour l'USSEIN. Il fallait attendre la sortie d'une première promotion.</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14:paraId="38CE6058"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 responsable de la cellule interne d'assurance qualité interne de l'USSEIN est nommé.</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6052E14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Des contacts ont été pris par les autorités du CEA et de l'USSEIN avec l'ANAQSUP pour la préparation institutionnelle de l'USSEIN. </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6698CA9D"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membres du comité de pilotage et de la cellule interne d'assurance qualité seront nommés.</w:t>
            </w:r>
          </w:p>
        </w:tc>
        <w:tc>
          <w:tcPr>
            <w:tcW w:w="55" w:type="pct"/>
            <w:vAlign w:val="center"/>
            <w:hideMark/>
          </w:tcPr>
          <w:p w14:paraId="0EA1CBDE"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7B5B72DB" w14:textId="77777777" w:rsidTr="008D7A30">
        <w:trPr>
          <w:trHeight w:val="481"/>
        </w:trPr>
        <w:tc>
          <w:tcPr>
            <w:tcW w:w="4945" w:type="pct"/>
            <w:gridSpan w:val="6"/>
            <w:tcBorders>
              <w:top w:val="single" w:sz="4" w:space="0" w:color="auto"/>
              <w:left w:val="nil"/>
              <w:bottom w:val="single" w:sz="4" w:space="0" w:color="auto"/>
              <w:right w:val="single" w:sz="4" w:space="0" w:color="auto"/>
            </w:tcBorders>
            <w:shd w:val="clear" w:color="000000" w:fill="D0CECE"/>
            <w:noWrap/>
            <w:vAlign w:val="center"/>
            <w:hideMark/>
          </w:tcPr>
          <w:p w14:paraId="35D791A1" w14:textId="77777777" w:rsidR="00B00643" w:rsidRPr="00687642" w:rsidRDefault="00B00643" w:rsidP="008D7A30">
            <w:pPr>
              <w:rPr>
                <w:rFonts w:ascii="Times New Roman" w:eastAsia="Times New Roman" w:hAnsi="Times New Roman" w:cs="Times New Roman"/>
                <w:b/>
                <w:bCs/>
                <w:i/>
                <w:iCs/>
                <w:color w:val="000000"/>
                <w:lang w:eastAsia="fr-FR"/>
              </w:rPr>
            </w:pPr>
          </w:p>
          <w:p w14:paraId="29FAA262"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1k: Voyages/Missions</w:t>
            </w:r>
          </w:p>
          <w:p w14:paraId="0F345BB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lastRenderedPageBreak/>
              <w:t> </w:t>
            </w:r>
          </w:p>
        </w:tc>
        <w:tc>
          <w:tcPr>
            <w:tcW w:w="55" w:type="pct"/>
            <w:vAlign w:val="center"/>
            <w:hideMark/>
          </w:tcPr>
          <w:p w14:paraId="66AFA50B"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AF0D02A" w14:textId="77777777" w:rsidTr="008D7A30">
        <w:trPr>
          <w:trHeight w:val="619"/>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22FEB" w14:textId="77777777" w:rsidR="00B00643" w:rsidRPr="00687642" w:rsidRDefault="00B00643" w:rsidP="008D7A30">
            <w:pPr>
              <w:rPr>
                <w:rFonts w:ascii="Arial" w:eastAsia="Times New Roman" w:hAnsi="Arial" w:cs="Arial"/>
                <w:i/>
                <w:iCs/>
                <w:lang w:eastAsia="fr-FR"/>
              </w:rPr>
            </w:pPr>
            <w:r w:rsidRPr="00687642">
              <w:rPr>
                <w:rFonts w:ascii="Arial" w:eastAsia="Times New Roman" w:hAnsi="Arial" w:cs="Arial"/>
                <w:i/>
                <w:iCs/>
                <w:lang w:eastAsia="fr-FR"/>
              </w:rPr>
              <w:t xml:space="preserve">Activité 1: Voyage liés à la formation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32054E0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Restriction dans la mobilité en rapport avec la pandémie à COVID 19.</w:t>
            </w:r>
          </w:p>
        </w:tc>
        <w:tc>
          <w:tcPr>
            <w:tcW w:w="8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8EF53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14:paraId="5761882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53B05BB0"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2FBA58E3"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7BCE702E" w14:textId="77777777" w:rsidTr="008D7A30">
        <w:trPr>
          <w:trHeight w:val="1237"/>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E8A9D" w14:textId="77777777" w:rsidR="00B00643" w:rsidRPr="00687642" w:rsidRDefault="00B00643" w:rsidP="008D7A30">
            <w:pPr>
              <w:rPr>
                <w:rFonts w:ascii="Arial" w:eastAsia="Times New Roman" w:hAnsi="Arial" w:cs="Arial"/>
                <w:i/>
                <w:iCs/>
                <w:lang w:eastAsia="fr-FR"/>
              </w:rPr>
            </w:pPr>
            <w:r w:rsidRPr="00687642">
              <w:rPr>
                <w:rFonts w:ascii="Arial" w:eastAsia="Times New Roman" w:hAnsi="Arial" w:cs="Arial"/>
                <w:i/>
                <w:iCs/>
                <w:lang w:eastAsia="fr-FR"/>
              </w:rPr>
              <w:t xml:space="preserve">Activité 2: Voyages des étudiants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62C87B1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Restriction dans la mobilité en rapport avec la pandémie à COVID 19.</w:t>
            </w:r>
          </w:p>
        </w:tc>
        <w:tc>
          <w:tcPr>
            <w:tcW w:w="8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26AA7F"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14:paraId="2667AA1F"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30" w:type="pct"/>
            <w:tcBorders>
              <w:top w:val="single" w:sz="4" w:space="0" w:color="auto"/>
              <w:left w:val="nil"/>
              <w:bottom w:val="single" w:sz="4" w:space="0" w:color="auto"/>
              <w:right w:val="single" w:sz="4" w:space="0" w:color="auto"/>
            </w:tcBorders>
            <w:shd w:val="clear" w:color="auto" w:fill="auto"/>
            <w:noWrap/>
            <w:vAlign w:val="center"/>
            <w:hideMark/>
          </w:tcPr>
          <w:p w14:paraId="71F634E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0D57C933"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6C3E5375" w14:textId="77777777" w:rsidTr="008D7A30">
        <w:trPr>
          <w:trHeight w:val="600"/>
        </w:trPr>
        <w:tc>
          <w:tcPr>
            <w:tcW w:w="4945" w:type="pct"/>
            <w:gridSpan w:val="6"/>
            <w:tcBorders>
              <w:top w:val="nil"/>
              <w:left w:val="nil"/>
              <w:bottom w:val="single" w:sz="4" w:space="0" w:color="auto"/>
              <w:right w:val="nil"/>
            </w:tcBorders>
            <w:shd w:val="clear" w:color="000000" w:fill="D0CECE"/>
            <w:vAlign w:val="center"/>
            <w:hideMark/>
          </w:tcPr>
          <w:p w14:paraId="39B29FEE" w14:textId="77777777" w:rsidR="00B00643" w:rsidRPr="00687642" w:rsidRDefault="00B00643" w:rsidP="008D7A30">
            <w:pPr>
              <w:rPr>
                <w:rFonts w:ascii="Times New Roman" w:eastAsia="Times New Roman" w:hAnsi="Times New Roman" w:cs="Times New Roman"/>
                <w:b/>
                <w:bCs/>
                <w:i/>
                <w:iCs/>
                <w:color w:val="000000"/>
                <w:lang w:eastAsia="fr-FR"/>
              </w:rPr>
            </w:pPr>
          </w:p>
          <w:p w14:paraId="14AE33D2"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1l: Travaux de génie civile et équipement liés à la formation/DLI4.3</w:t>
            </w:r>
          </w:p>
          <w:p w14:paraId="7A06C844"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713DD5C1"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64E8EACE" w14:textId="77777777" w:rsidTr="008D7A30">
        <w:trPr>
          <w:trHeight w:val="1856"/>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4A39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5: Génie civil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68D3D973"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Non disponibilité du PGES</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14:paraId="224A0093"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Un consultant a été recruté et a effectué les visites et les enquêtes de terrain dans les 04 universités. Un draft de rapport a été soumis à la Banque pour ANO.</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0C04BB2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Des contacts ont été pris avec l'équipe de sauvegarde sociale et environnementale de la Banque mondiale pour accélérer la validation du rapport. Le Coordonnateur du CEA assure le suivi.</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2C8D9AE5" w14:textId="6767097F"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Remise des ordres de service et </w:t>
            </w:r>
            <w:r w:rsidR="008817C8">
              <w:rPr>
                <w:rFonts w:ascii="Times New Roman" w:eastAsia="Times New Roman" w:hAnsi="Times New Roman" w:cs="Times New Roman"/>
                <w:color w:val="000000"/>
                <w:lang w:eastAsia="fr-FR"/>
              </w:rPr>
              <w:t>déroulement</w:t>
            </w:r>
            <w:r w:rsidRPr="00687642">
              <w:rPr>
                <w:rFonts w:ascii="Times New Roman" w:eastAsia="Times New Roman" w:hAnsi="Times New Roman" w:cs="Times New Roman"/>
                <w:color w:val="000000"/>
                <w:lang w:eastAsia="fr-FR"/>
              </w:rPr>
              <w:t xml:space="preserve"> des travaux</w:t>
            </w:r>
            <w:r w:rsidR="008B152E">
              <w:rPr>
                <w:rFonts w:ascii="Times New Roman" w:eastAsia="Times New Roman" w:hAnsi="Times New Roman" w:cs="Times New Roman"/>
                <w:color w:val="000000"/>
                <w:lang w:eastAsia="fr-FR"/>
              </w:rPr>
              <w:t xml:space="preserve"> de réhabilitation</w:t>
            </w:r>
          </w:p>
        </w:tc>
        <w:tc>
          <w:tcPr>
            <w:tcW w:w="55" w:type="pct"/>
            <w:vAlign w:val="center"/>
            <w:hideMark/>
          </w:tcPr>
          <w:p w14:paraId="4F7C0C19"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315FC805" w14:textId="77777777" w:rsidTr="008D7A30">
        <w:trPr>
          <w:trHeight w:val="505"/>
        </w:trPr>
        <w:tc>
          <w:tcPr>
            <w:tcW w:w="931" w:type="pct"/>
            <w:tcBorders>
              <w:top w:val="nil"/>
              <w:left w:val="nil"/>
              <w:bottom w:val="single" w:sz="4" w:space="0" w:color="auto"/>
              <w:right w:val="nil"/>
            </w:tcBorders>
            <w:shd w:val="clear" w:color="000000" w:fill="D0CECE"/>
            <w:noWrap/>
            <w:vAlign w:val="center"/>
            <w:hideMark/>
          </w:tcPr>
          <w:p w14:paraId="5684C4DD"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1m: Impact institution</w:t>
            </w:r>
          </w:p>
        </w:tc>
        <w:tc>
          <w:tcPr>
            <w:tcW w:w="982" w:type="pct"/>
            <w:tcBorders>
              <w:top w:val="nil"/>
              <w:left w:val="nil"/>
              <w:bottom w:val="single" w:sz="4" w:space="0" w:color="auto"/>
              <w:right w:val="nil"/>
            </w:tcBorders>
            <w:shd w:val="clear" w:color="000000" w:fill="D0CECE"/>
            <w:noWrap/>
            <w:vAlign w:val="center"/>
            <w:hideMark/>
          </w:tcPr>
          <w:p w14:paraId="3E813EEE"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880" w:type="pct"/>
            <w:gridSpan w:val="2"/>
            <w:tcBorders>
              <w:top w:val="nil"/>
              <w:left w:val="nil"/>
              <w:bottom w:val="single" w:sz="4" w:space="0" w:color="auto"/>
              <w:right w:val="nil"/>
            </w:tcBorders>
            <w:shd w:val="clear" w:color="000000" w:fill="D0CECE"/>
            <w:noWrap/>
            <w:vAlign w:val="center"/>
            <w:hideMark/>
          </w:tcPr>
          <w:p w14:paraId="7F5818D5"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1222" w:type="pct"/>
            <w:tcBorders>
              <w:top w:val="nil"/>
              <w:left w:val="nil"/>
              <w:bottom w:val="single" w:sz="4" w:space="0" w:color="auto"/>
              <w:right w:val="nil"/>
            </w:tcBorders>
            <w:shd w:val="clear" w:color="000000" w:fill="D0CECE"/>
            <w:noWrap/>
            <w:vAlign w:val="center"/>
            <w:hideMark/>
          </w:tcPr>
          <w:p w14:paraId="71BDA48D"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930" w:type="pct"/>
            <w:tcBorders>
              <w:top w:val="nil"/>
              <w:left w:val="nil"/>
              <w:bottom w:val="single" w:sz="4" w:space="0" w:color="auto"/>
              <w:right w:val="nil"/>
            </w:tcBorders>
            <w:shd w:val="clear" w:color="000000" w:fill="D0CECE"/>
            <w:noWrap/>
            <w:vAlign w:val="center"/>
            <w:hideMark/>
          </w:tcPr>
          <w:p w14:paraId="135EBB1F"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343D5E84"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3F251CB3" w14:textId="77777777" w:rsidTr="008D7A30">
        <w:trPr>
          <w:trHeight w:val="2023"/>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92808"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Activités liées à l'impact institutionnel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22D187EF" w14:textId="25E5992E"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0D0A72">
              <w:rPr>
                <w:rFonts w:ascii="Times New Roman" w:eastAsia="Times New Roman" w:hAnsi="Times New Roman" w:cs="Times New Roman"/>
                <w:color w:val="000000"/>
                <w:lang w:eastAsia="fr-FR"/>
              </w:rPr>
              <w:t xml:space="preserve">Non </w:t>
            </w:r>
            <w:r w:rsidR="00CB152C">
              <w:rPr>
                <w:rFonts w:ascii="Times New Roman" w:eastAsia="Times New Roman" w:hAnsi="Times New Roman" w:cs="Times New Roman"/>
                <w:color w:val="000000"/>
                <w:lang w:eastAsia="fr-FR"/>
              </w:rPr>
              <w:t>disponibilité du PGES</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14:paraId="23BB331C" w14:textId="442335AC" w:rsidR="00B00643"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CB152C">
              <w:rPr>
                <w:rFonts w:ascii="Times New Roman" w:eastAsia="Times New Roman" w:hAnsi="Times New Roman" w:cs="Times New Roman"/>
                <w:color w:val="000000"/>
                <w:lang w:eastAsia="fr-FR"/>
              </w:rPr>
              <w:t>Terrain affecté,</w:t>
            </w:r>
          </w:p>
          <w:p w14:paraId="3C22C4C6" w14:textId="77777777" w:rsidR="00CB152C" w:rsidRDefault="00CB152C"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Plan architecte disponible,</w:t>
            </w:r>
          </w:p>
          <w:p w14:paraId="5B58AB2C" w14:textId="2583D493" w:rsidR="00CB152C" w:rsidRPr="00687642" w:rsidRDefault="00CB152C"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Etudes techniques pris en charge</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73AB9E88"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Des modifications ont été faites concernant le DLI 7 consistant à investir les gains de ce DLI pour la construction d'un bâtiment à l'UCAD.</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19EDC8A9"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L’UCAD s’engage à accompagner les CEA pour le respect des engagements, le développement et la pérennisation de leurs actions</w:t>
            </w:r>
          </w:p>
        </w:tc>
        <w:tc>
          <w:tcPr>
            <w:tcW w:w="55" w:type="pct"/>
            <w:vAlign w:val="center"/>
            <w:hideMark/>
          </w:tcPr>
          <w:p w14:paraId="5237BB9B" w14:textId="77777777" w:rsidR="00B00643" w:rsidRPr="002A4D17" w:rsidRDefault="00B00643" w:rsidP="008D7A30">
            <w:pPr>
              <w:rPr>
                <w:rFonts w:ascii="Times New Roman" w:eastAsia="Times New Roman" w:hAnsi="Times New Roman" w:cs="Times New Roman"/>
                <w:sz w:val="20"/>
                <w:szCs w:val="20"/>
                <w:lang w:eastAsia="fr-FR"/>
              </w:rPr>
            </w:pPr>
          </w:p>
        </w:tc>
      </w:tr>
    </w:tbl>
    <w:p w14:paraId="0DCACE61" w14:textId="77777777" w:rsidR="00B00643" w:rsidRDefault="00B00643" w:rsidP="00B00643">
      <w:pPr>
        <w:tabs>
          <w:tab w:val="left" w:pos="2689"/>
          <w:tab w:val="left" w:pos="5583"/>
          <w:tab w:val="left" w:pos="8177"/>
          <w:tab w:val="left" w:pos="11779"/>
          <w:tab w:val="left" w:pos="14520"/>
        </w:tabs>
        <w:ind w:left="-55"/>
        <w:rPr>
          <w:rFonts w:ascii="Arial" w:eastAsia="Times New Roman" w:hAnsi="Arial" w:cs="Arial"/>
          <w:b/>
          <w:bCs/>
          <w:i/>
          <w:iCs/>
          <w:lang w:eastAsia="fr-FR"/>
        </w:rPr>
      </w:pPr>
    </w:p>
    <w:p w14:paraId="385C206D" w14:textId="77777777" w:rsidR="00B00643" w:rsidRDefault="00B00643" w:rsidP="00B00643">
      <w:pPr>
        <w:tabs>
          <w:tab w:val="left" w:pos="2689"/>
          <w:tab w:val="left" w:pos="5583"/>
          <w:tab w:val="left" w:pos="8177"/>
          <w:tab w:val="left" w:pos="11779"/>
          <w:tab w:val="left" w:pos="14520"/>
        </w:tabs>
        <w:ind w:left="-55"/>
        <w:rPr>
          <w:rFonts w:ascii="Arial" w:eastAsia="Times New Roman" w:hAnsi="Arial" w:cs="Arial"/>
          <w:b/>
          <w:bCs/>
          <w:i/>
          <w:iCs/>
          <w:lang w:eastAsia="fr-FR"/>
        </w:rPr>
      </w:pPr>
    </w:p>
    <w:p w14:paraId="6DCF0B8C" w14:textId="77777777" w:rsidR="00B00643" w:rsidRPr="002A4D17" w:rsidRDefault="00B00643" w:rsidP="00B00643">
      <w:pPr>
        <w:tabs>
          <w:tab w:val="left" w:pos="2689"/>
          <w:tab w:val="left" w:pos="5583"/>
          <w:tab w:val="left" w:pos="8177"/>
          <w:tab w:val="left" w:pos="11779"/>
          <w:tab w:val="left" w:pos="14520"/>
        </w:tabs>
        <w:ind w:left="-55"/>
        <w:rPr>
          <w:rFonts w:ascii="Times New Roman" w:eastAsia="Times New Roman" w:hAnsi="Times New Roman" w:cs="Times New Roman"/>
          <w:sz w:val="20"/>
          <w:szCs w:val="20"/>
          <w:lang w:eastAsia="fr-FR"/>
        </w:rPr>
      </w:pPr>
    </w:p>
    <w:tbl>
      <w:tblPr>
        <w:tblW w:w="5203" w:type="pct"/>
        <w:tblInd w:w="-120" w:type="dxa"/>
        <w:tblLayout w:type="fixed"/>
        <w:tblCellMar>
          <w:left w:w="70" w:type="dxa"/>
          <w:right w:w="70" w:type="dxa"/>
        </w:tblCellMar>
        <w:tblLook w:val="04A0" w:firstRow="1" w:lastRow="0" w:firstColumn="1" w:lastColumn="0" w:noHBand="0" w:noVBand="1"/>
      </w:tblPr>
      <w:tblGrid>
        <w:gridCol w:w="2506"/>
        <w:gridCol w:w="2103"/>
        <w:gridCol w:w="4485"/>
        <w:gridCol w:w="2944"/>
        <w:gridCol w:w="2375"/>
        <w:gridCol w:w="160"/>
      </w:tblGrid>
      <w:tr w:rsidR="00B00643" w:rsidRPr="002A4D17" w14:paraId="18D6602D" w14:textId="77777777" w:rsidTr="00E3318C">
        <w:trPr>
          <w:trHeight w:val="609"/>
        </w:trPr>
        <w:tc>
          <w:tcPr>
            <w:tcW w:w="4945" w:type="pct"/>
            <w:gridSpan w:val="5"/>
            <w:tcBorders>
              <w:top w:val="single" w:sz="4" w:space="0" w:color="auto"/>
              <w:left w:val="nil"/>
              <w:bottom w:val="single" w:sz="4" w:space="0" w:color="auto"/>
              <w:right w:val="nil"/>
            </w:tcBorders>
            <w:shd w:val="clear" w:color="000000" w:fill="9BC2E6"/>
            <w:noWrap/>
            <w:vAlign w:val="center"/>
            <w:hideMark/>
          </w:tcPr>
          <w:p w14:paraId="3AFAE648" w14:textId="61688769" w:rsidR="00B00643" w:rsidRPr="00687642" w:rsidRDefault="00625ECE" w:rsidP="008D7A30">
            <w:pPr>
              <w:rPr>
                <w:rFonts w:ascii="Times New Roman" w:eastAsia="Times New Roman" w:hAnsi="Times New Roman" w:cs="Times New Roman"/>
                <w:b/>
                <w:bCs/>
                <w:color w:val="000000"/>
                <w:lang w:eastAsia="fr-FR"/>
              </w:rPr>
            </w:pPr>
            <w:r w:rsidRPr="00625ECE">
              <w:rPr>
                <w:rFonts w:ascii="Times New Roman" w:eastAsia="Times New Roman" w:hAnsi="Times New Roman" w:cs="Times New Roman"/>
                <w:b/>
                <w:bCs/>
                <w:color w:val="000000"/>
                <w:lang w:eastAsia="fr-FR"/>
              </w:rPr>
              <w:lastRenderedPageBreak/>
              <w:t xml:space="preserve">PLAN D’ACTION </w:t>
            </w:r>
            <w:r w:rsidR="00B00643" w:rsidRPr="00625ECE">
              <w:rPr>
                <w:rFonts w:ascii="Times New Roman" w:eastAsia="Times New Roman" w:hAnsi="Times New Roman" w:cs="Times New Roman"/>
                <w:b/>
                <w:bCs/>
                <w:color w:val="000000"/>
                <w:lang w:eastAsia="fr-FR"/>
              </w:rPr>
              <w:t>RECHERCHE</w:t>
            </w:r>
            <w:r w:rsidR="00B00643">
              <w:rPr>
                <w:rFonts w:ascii="Times New Roman" w:eastAsia="Times New Roman" w:hAnsi="Times New Roman" w:cs="Times New Roman"/>
                <w:b/>
                <w:bCs/>
                <w:color w:val="000000"/>
                <w:lang w:eastAsia="fr-FR"/>
              </w:rPr>
              <w:t xml:space="preserve"> </w:t>
            </w:r>
          </w:p>
        </w:tc>
        <w:tc>
          <w:tcPr>
            <w:tcW w:w="55" w:type="pct"/>
            <w:vAlign w:val="center"/>
            <w:hideMark/>
          </w:tcPr>
          <w:p w14:paraId="46612BB4"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4E9C0D2C" w14:textId="77777777" w:rsidTr="00E3318C">
        <w:trPr>
          <w:trHeight w:val="310"/>
        </w:trPr>
        <w:tc>
          <w:tcPr>
            <w:tcW w:w="4945" w:type="pct"/>
            <w:gridSpan w:val="5"/>
            <w:tcBorders>
              <w:top w:val="nil"/>
              <w:left w:val="nil"/>
              <w:bottom w:val="single" w:sz="4" w:space="0" w:color="auto"/>
              <w:right w:val="nil"/>
            </w:tcBorders>
            <w:shd w:val="clear" w:color="000000" w:fill="D0CECE"/>
            <w:noWrap/>
            <w:vAlign w:val="center"/>
            <w:hideMark/>
          </w:tcPr>
          <w:p w14:paraId="73345245" w14:textId="77777777" w:rsidR="00B00643" w:rsidRPr="00687642" w:rsidRDefault="00B00643" w:rsidP="008D7A30">
            <w:pPr>
              <w:rPr>
                <w:rFonts w:ascii="Times New Roman" w:eastAsia="Times New Roman" w:hAnsi="Times New Roman" w:cs="Times New Roman"/>
                <w:b/>
                <w:bCs/>
                <w:i/>
                <w:iCs/>
                <w:color w:val="000000"/>
                <w:lang w:eastAsia="fr-FR"/>
              </w:rPr>
            </w:pPr>
          </w:p>
          <w:p w14:paraId="39451C8D"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2a: Renforcement des capacités de recherche</w:t>
            </w:r>
          </w:p>
          <w:p w14:paraId="2B650DE3"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5ED28DF0"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33BD1B4C" w14:textId="77777777" w:rsidTr="00E3318C">
        <w:trPr>
          <w:trHeight w:val="365"/>
        </w:trPr>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23AC8" w14:textId="77777777" w:rsidR="00B00643" w:rsidRPr="002A4D17" w:rsidRDefault="00B00643" w:rsidP="008D7A30">
            <w:pPr>
              <w:rPr>
                <w:rFonts w:ascii="Times New Roman" w:eastAsia="Times New Roman" w:hAnsi="Times New Roman" w:cs="Times New Roman"/>
                <w:b/>
                <w:bCs/>
                <w:i/>
                <w:iCs/>
                <w:color w:val="000000"/>
                <w:lang w:eastAsia="fr-FR"/>
              </w:rPr>
            </w:pPr>
          </w:p>
        </w:tc>
        <w:tc>
          <w:tcPr>
            <w:tcW w:w="3270" w:type="pct"/>
            <w:gridSpan w:val="3"/>
            <w:tcBorders>
              <w:top w:val="nil"/>
              <w:left w:val="nil"/>
              <w:bottom w:val="single" w:sz="4" w:space="0" w:color="auto"/>
              <w:right w:val="single" w:sz="4" w:space="0" w:color="auto"/>
            </w:tcBorders>
            <w:shd w:val="clear" w:color="auto" w:fill="FFF2CC" w:themeFill="accent4" w:themeFillTint="33"/>
            <w:vAlign w:val="center"/>
          </w:tcPr>
          <w:p w14:paraId="7785F6C6" w14:textId="77777777" w:rsidR="00B00643" w:rsidRPr="002A4D17" w:rsidRDefault="00B00643" w:rsidP="008D7A30">
            <w:pPr>
              <w:jc w:val="center"/>
              <w:rPr>
                <w:rFonts w:ascii="Calibri" w:eastAsia="Times New Roman" w:hAnsi="Calibri" w:cs="Calibri"/>
                <w:b/>
                <w:bCs/>
                <w:color w:val="000000"/>
                <w:lang w:eastAsia="fr-FR"/>
              </w:rPr>
            </w:pPr>
            <w:r w:rsidRPr="002A4D17">
              <w:rPr>
                <w:rFonts w:ascii="Times New Roman" w:eastAsia="Times New Roman" w:hAnsi="Times New Roman" w:cs="Times New Roman"/>
                <w:b/>
                <w:bCs/>
                <w:color w:val="000000"/>
                <w:lang w:eastAsia="fr-FR"/>
              </w:rPr>
              <w:t>Engagements 2 derniers mois (mars-avril)</w:t>
            </w:r>
          </w:p>
        </w:tc>
        <w:tc>
          <w:tcPr>
            <w:tcW w:w="815" w:type="pct"/>
            <w:tcBorders>
              <w:top w:val="nil"/>
              <w:left w:val="nil"/>
              <w:bottom w:val="single" w:sz="4" w:space="0" w:color="auto"/>
              <w:right w:val="single" w:sz="4" w:space="0" w:color="auto"/>
            </w:tcBorders>
            <w:shd w:val="clear" w:color="auto" w:fill="FFFFFF" w:themeFill="background1"/>
            <w:noWrap/>
            <w:vAlign w:val="center"/>
          </w:tcPr>
          <w:p w14:paraId="69590E40" w14:textId="77777777" w:rsidR="00B00643" w:rsidRPr="002A4D17" w:rsidRDefault="00B00643" w:rsidP="008D7A30">
            <w:pPr>
              <w:ind w:firstLineChars="100" w:firstLine="241"/>
              <w:rPr>
                <w:rFonts w:ascii="Times New Roman" w:eastAsia="Times New Roman" w:hAnsi="Times New Roman" w:cs="Times New Roman"/>
                <w:b/>
                <w:bCs/>
                <w:color w:val="000000"/>
                <w:lang w:eastAsia="fr-FR"/>
              </w:rPr>
            </w:pPr>
          </w:p>
        </w:tc>
        <w:tc>
          <w:tcPr>
            <w:tcW w:w="55" w:type="pct"/>
            <w:vAlign w:val="center"/>
          </w:tcPr>
          <w:p w14:paraId="1884A510"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7FD18138" w14:textId="77777777" w:rsidTr="00E3318C">
        <w:trPr>
          <w:trHeight w:val="507"/>
        </w:trPr>
        <w:tc>
          <w:tcPr>
            <w:tcW w:w="8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CD0D32" w14:textId="77777777" w:rsidR="00B00643" w:rsidRPr="002A4D17" w:rsidRDefault="00B00643" w:rsidP="008D7A30">
            <w:pPr>
              <w:rPr>
                <w:rFonts w:ascii="Times New Roman" w:eastAsia="Times New Roman" w:hAnsi="Times New Roman" w:cs="Times New Roman"/>
                <w:b/>
                <w:bCs/>
                <w:i/>
                <w:iCs/>
                <w:color w:val="000000"/>
                <w:lang w:eastAsia="fr-FR"/>
              </w:rPr>
            </w:pPr>
            <w:r w:rsidRPr="002A4D17">
              <w:rPr>
                <w:rFonts w:ascii="Times New Roman" w:eastAsia="Times New Roman" w:hAnsi="Times New Roman" w:cs="Times New Roman"/>
                <w:b/>
                <w:bCs/>
                <w:i/>
                <w:iCs/>
                <w:color w:val="000000"/>
                <w:lang w:eastAsia="fr-FR"/>
              </w:rPr>
              <w:t>Sous-action 1a: Renforcement des capacités physiques</w:t>
            </w:r>
          </w:p>
        </w:tc>
        <w:tc>
          <w:tcPr>
            <w:tcW w:w="722" w:type="pct"/>
            <w:tcBorders>
              <w:top w:val="nil"/>
              <w:left w:val="nil"/>
              <w:bottom w:val="single" w:sz="4" w:space="0" w:color="auto"/>
              <w:right w:val="single" w:sz="4" w:space="0" w:color="auto"/>
            </w:tcBorders>
            <w:shd w:val="clear" w:color="auto" w:fill="FFF2CC" w:themeFill="accent4" w:themeFillTint="33"/>
            <w:vAlign w:val="center"/>
          </w:tcPr>
          <w:p w14:paraId="6D802827"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Points d'obstacles</w:t>
            </w:r>
          </w:p>
        </w:tc>
        <w:tc>
          <w:tcPr>
            <w:tcW w:w="1539" w:type="pct"/>
            <w:tcBorders>
              <w:top w:val="nil"/>
              <w:left w:val="nil"/>
              <w:bottom w:val="single" w:sz="4" w:space="0" w:color="auto"/>
              <w:right w:val="single" w:sz="4" w:space="0" w:color="auto"/>
            </w:tcBorders>
            <w:shd w:val="clear" w:color="auto" w:fill="FFF2CC" w:themeFill="accent4" w:themeFillTint="33"/>
            <w:vAlign w:val="center"/>
          </w:tcPr>
          <w:p w14:paraId="68915D12"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Niveau d'exécution</w:t>
            </w:r>
          </w:p>
        </w:tc>
        <w:tc>
          <w:tcPr>
            <w:tcW w:w="1010" w:type="pct"/>
            <w:tcBorders>
              <w:top w:val="nil"/>
              <w:left w:val="nil"/>
              <w:bottom w:val="single" w:sz="4" w:space="0" w:color="auto"/>
              <w:right w:val="single" w:sz="4" w:space="0" w:color="auto"/>
            </w:tcBorders>
            <w:shd w:val="clear" w:color="auto" w:fill="FFF2CC" w:themeFill="accent4" w:themeFillTint="33"/>
            <w:vAlign w:val="center"/>
          </w:tcPr>
          <w:p w14:paraId="2BAC73F3"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Mesures d'accélération</w:t>
            </w:r>
          </w:p>
        </w:tc>
        <w:tc>
          <w:tcPr>
            <w:tcW w:w="815" w:type="pct"/>
            <w:tcBorders>
              <w:top w:val="nil"/>
              <w:left w:val="nil"/>
              <w:bottom w:val="single" w:sz="4" w:space="0" w:color="auto"/>
              <w:right w:val="single" w:sz="4" w:space="0" w:color="auto"/>
            </w:tcBorders>
            <w:shd w:val="clear" w:color="auto" w:fill="E2EFD9" w:themeFill="accent6" w:themeFillTint="33"/>
            <w:noWrap/>
            <w:vAlign w:val="center"/>
          </w:tcPr>
          <w:p w14:paraId="11E90726" w14:textId="77777777" w:rsidR="00B00643" w:rsidRPr="002A4D17" w:rsidRDefault="00B00643" w:rsidP="008D7A30">
            <w:pPr>
              <w:rPr>
                <w:rFonts w:ascii="Times New Roman" w:eastAsia="Times New Roman" w:hAnsi="Times New Roman" w:cs="Times New Roman"/>
                <w:b/>
                <w:bCs/>
                <w:color w:val="000000"/>
                <w:lang w:eastAsia="fr-FR"/>
              </w:rPr>
            </w:pPr>
            <w:r w:rsidRPr="00762A45">
              <w:rPr>
                <w:rFonts w:ascii="Times New Roman" w:eastAsia="Times New Roman" w:hAnsi="Times New Roman" w:cs="Times New Roman"/>
                <w:b/>
                <w:bCs/>
                <w:color w:val="000000"/>
                <w:lang w:eastAsia="fr-FR"/>
              </w:rPr>
              <w:t>Engagements 2 prochains mois (juin-juillet)</w:t>
            </w:r>
          </w:p>
        </w:tc>
        <w:tc>
          <w:tcPr>
            <w:tcW w:w="55" w:type="pct"/>
            <w:vAlign w:val="center"/>
          </w:tcPr>
          <w:p w14:paraId="33C3F66D"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6318009" w14:textId="77777777" w:rsidTr="00E3318C">
        <w:trPr>
          <w:trHeight w:val="1731"/>
        </w:trPr>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74871"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1: Renforcement des capacités en recherche et mobilisation de ressources pour les enseignants et étudiants</w:t>
            </w:r>
          </w:p>
        </w:tc>
        <w:tc>
          <w:tcPr>
            <w:tcW w:w="722" w:type="pct"/>
            <w:tcBorders>
              <w:top w:val="nil"/>
              <w:left w:val="nil"/>
              <w:bottom w:val="single" w:sz="4" w:space="0" w:color="auto"/>
              <w:right w:val="single" w:sz="4" w:space="0" w:color="auto"/>
            </w:tcBorders>
            <w:shd w:val="clear" w:color="auto" w:fill="auto"/>
            <w:vAlign w:val="center"/>
            <w:hideMark/>
          </w:tcPr>
          <w:p w14:paraId="6682DDB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Il n'y a pas eu d'obstacle. </w:t>
            </w:r>
          </w:p>
        </w:tc>
        <w:tc>
          <w:tcPr>
            <w:tcW w:w="1539" w:type="pct"/>
            <w:tcBorders>
              <w:top w:val="nil"/>
              <w:left w:val="nil"/>
              <w:bottom w:val="single" w:sz="4" w:space="0" w:color="auto"/>
              <w:right w:val="single" w:sz="4" w:space="0" w:color="auto"/>
            </w:tcBorders>
            <w:shd w:val="clear" w:color="auto" w:fill="auto"/>
            <w:vAlign w:val="center"/>
            <w:hideMark/>
          </w:tcPr>
          <w:p w14:paraId="45804D9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Un appel a été candidatures é été lancé. Un atelier a </w:t>
            </w:r>
            <w:proofErr w:type="spellStart"/>
            <w:r w:rsidRPr="00687642">
              <w:rPr>
                <w:rFonts w:ascii="Times New Roman" w:eastAsia="Times New Roman" w:hAnsi="Times New Roman" w:cs="Times New Roman"/>
                <w:color w:val="000000"/>
                <w:lang w:eastAsia="fr-FR"/>
              </w:rPr>
              <w:t>dejà</w:t>
            </w:r>
            <w:proofErr w:type="spellEnd"/>
            <w:r w:rsidRPr="00687642">
              <w:rPr>
                <w:rFonts w:ascii="Times New Roman" w:eastAsia="Times New Roman" w:hAnsi="Times New Roman" w:cs="Times New Roman"/>
                <w:color w:val="000000"/>
                <w:lang w:eastAsia="fr-FR"/>
              </w:rPr>
              <w:t xml:space="preserve"> été </w:t>
            </w:r>
            <w:proofErr w:type="spellStart"/>
            <w:r w:rsidRPr="00687642">
              <w:rPr>
                <w:rFonts w:ascii="Times New Roman" w:eastAsia="Times New Roman" w:hAnsi="Times New Roman" w:cs="Times New Roman"/>
                <w:color w:val="000000"/>
                <w:lang w:eastAsia="fr-FR"/>
              </w:rPr>
              <w:t>realisé</w:t>
            </w:r>
            <w:proofErr w:type="spellEnd"/>
            <w:r w:rsidRPr="00687642">
              <w:rPr>
                <w:rFonts w:ascii="Times New Roman" w:eastAsia="Times New Roman" w:hAnsi="Times New Roman" w:cs="Times New Roman"/>
                <w:color w:val="000000"/>
                <w:lang w:eastAsia="fr-FR"/>
              </w:rPr>
              <w:t xml:space="preserve"> en 2021 pour former un vingtaine de jeunes chercheurs sur les 75 candidatures pour respecter les mesures barrières.</w:t>
            </w:r>
          </w:p>
        </w:tc>
        <w:tc>
          <w:tcPr>
            <w:tcW w:w="1010" w:type="pct"/>
            <w:tcBorders>
              <w:top w:val="nil"/>
              <w:left w:val="nil"/>
              <w:bottom w:val="single" w:sz="4" w:space="0" w:color="auto"/>
              <w:right w:val="single" w:sz="4" w:space="0" w:color="auto"/>
            </w:tcBorders>
            <w:shd w:val="clear" w:color="auto" w:fill="auto"/>
            <w:vAlign w:val="center"/>
            <w:hideMark/>
          </w:tcPr>
          <w:p w14:paraId="662E1FE1"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Le matériel de </w:t>
            </w:r>
            <w:proofErr w:type="spellStart"/>
            <w:r w:rsidRPr="00687642">
              <w:rPr>
                <w:rFonts w:ascii="Times New Roman" w:eastAsia="Times New Roman" w:hAnsi="Times New Roman" w:cs="Times New Roman"/>
                <w:color w:val="000000"/>
                <w:lang w:eastAsia="fr-FR"/>
              </w:rPr>
              <w:t>visoconférence</w:t>
            </w:r>
            <w:proofErr w:type="spellEnd"/>
            <w:r w:rsidRPr="00687642">
              <w:rPr>
                <w:rFonts w:ascii="Times New Roman" w:eastAsia="Times New Roman" w:hAnsi="Times New Roman" w:cs="Times New Roman"/>
                <w:color w:val="000000"/>
                <w:lang w:eastAsia="fr-FR"/>
              </w:rPr>
              <w:t xml:space="preserve"> acquis par le CEA sera mis à profit pour organiser au moins deux autres ateliers en 2022 pour satisfaire la très forte demande. </w:t>
            </w:r>
          </w:p>
        </w:tc>
        <w:tc>
          <w:tcPr>
            <w:tcW w:w="815" w:type="pct"/>
            <w:tcBorders>
              <w:top w:val="nil"/>
              <w:left w:val="nil"/>
              <w:bottom w:val="single" w:sz="4" w:space="0" w:color="auto"/>
              <w:right w:val="single" w:sz="4" w:space="0" w:color="auto"/>
            </w:tcBorders>
            <w:shd w:val="clear" w:color="auto" w:fill="auto"/>
            <w:noWrap/>
            <w:vAlign w:val="center"/>
            <w:hideMark/>
          </w:tcPr>
          <w:p w14:paraId="1289DC26"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Un atelier sera organisé en juillet.</w:t>
            </w:r>
          </w:p>
        </w:tc>
        <w:tc>
          <w:tcPr>
            <w:tcW w:w="55" w:type="pct"/>
            <w:vAlign w:val="center"/>
            <w:hideMark/>
          </w:tcPr>
          <w:p w14:paraId="4DCF5660"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21F5B49" w14:textId="77777777" w:rsidTr="00E3318C">
        <w:trPr>
          <w:trHeight w:val="310"/>
        </w:trPr>
        <w:tc>
          <w:tcPr>
            <w:tcW w:w="4945" w:type="pct"/>
            <w:gridSpan w:val="5"/>
            <w:tcBorders>
              <w:top w:val="nil"/>
              <w:left w:val="nil"/>
              <w:bottom w:val="single" w:sz="4" w:space="0" w:color="auto"/>
              <w:right w:val="nil"/>
            </w:tcBorders>
            <w:shd w:val="clear" w:color="000000" w:fill="D0CECE"/>
            <w:noWrap/>
            <w:vAlign w:val="center"/>
            <w:hideMark/>
          </w:tcPr>
          <w:p w14:paraId="47162C2A" w14:textId="77777777" w:rsidR="00B00643" w:rsidRDefault="00B00643" w:rsidP="008D7A30">
            <w:pPr>
              <w:rPr>
                <w:rFonts w:ascii="Times New Roman" w:eastAsia="Times New Roman" w:hAnsi="Times New Roman" w:cs="Times New Roman"/>
                <w:b/>
                <w:bCs/>
                <w:i/>
                <w:iCs/>
                <w:color w:val="000000"/>
                <w:lang w:eastAsia="fr-FR"/>
              </w:rPr>
            </w:pPr>
          </w:p>
          <w:p w14:paraId="38A91615"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2b: Gestion des projets de recherche</w:t>
            </w:r>
          </w:p>
          <w:p w14:paraId="49C100C4"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0C473094"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7C87D30" w14:textId="77777777" w:rsidTr="00E3318C">
        <w:trPr>
          <w:trHeight w:val="3107"/>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DB7D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Sélection des projets de recherche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389E7"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Il n'y a pas d'obstacle. </w:t>
            </w: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E3CFC"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Des appels à projets compétitifs ont été lancés sur des thèmes des recherche interdisciplinaires en rapport avec la sécurité alimentaire et nutritionnelle. Les 30 projets de recherche reçus ont été évalués par des experts externes et un comité de sélection a été nommé pour la sélection finale. Neuf projets ont été retenus en mettant l'accent sur la qualité </w:t>
            </w:r>
            <w:proofErr w:type="spellStart"/>
            <w:r w:rsidRPr="00687642">
              <w:rPr>
                <w:rFonts w:ascii="Times New Roman" w:eastAsia="Times New Roman" w:hAnsi="Times New Roman" w:cs="Times New Roman"/>
                <w:color w:val="000000"/>
                <w:lang w:eastAsia="fr-FR"/>
              </w:rPr>
              <w:t>scientfique</w:t>
            </w:r>
            <w:proofErr w:type="spellEnd"/>
            <w:r w:rsidRPr="00687642">
              <w:rPr>
                <w:rFonts w:ascii="Times New Roman" w:eastAsia="Times New Roman" w:hAnsi="Times New Roman" w:cs="Times New Roman"/>
                <w:color w:val="000000"/>
                <w:lang w:eastAsia="fr-FR"/>
              </w:rPr>
              <w:t xml:space="preserve"> et l'impact économique des projets et sur le caractère </w:t>
            </w:r>
            <w:proofErr w:type="spellStart"/>
            <w:r w:rsidRPr="00687642">
              <w:rPr>
                <w:rFonts w:ascii="Times New Roman" w:eastAsia="Times New Roman" w:hAnsi="Times New Roman" w:cs="Times New Roman"/>
                <w:color w:val="000000"/>
                <w:lang w:eastAsia="fr-FR"/>
              </w:rPr>
              <w:t>pluriinstitutionnel</w:t>
            </w:r>
            <w:proofErr w:type="spellEnd"/>
            <w:r w:rsidRPr="00687642">
              <w:rPr>
                <w:rFonts w:ascii="Times New Roman" w:eastAsia="Times New Roman" w:hAnsi="Times New Roman" w:cs="Times New Roman"/>
                <w:color w:val="000000"/>
                <w:lang w:eastAsia="fr-FR"/>
              </w:rPr>
              <w:t xml:space="preserve"> des équipes de recherche.</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64FC3"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L'activité a été réalisée.</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EB8D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L'activité est réalisée</w:t>
            </w:r>
          </w:p>
        </w:tc>
        <w:tc>
          <w:tcPr>
            <w:tcW w:w="55" w:type="pct"/>
            <w:tcBorders>
              <w:left w:val="single" w:sz="4" w:space="0" w:color="auto"/>
            </w:tcBorders>
            <w:vAlign w:val="center"/>
            <w:hideMark/>
          </w:tcPr>
          <w:p w14:paraId="7CF6EBFE" w14:textId="77777777" w:rsidR="00B00643" w:rsidRPr="002A4D17" w:rsidRDefault="00B00643" w:rsidP="008D7A30">
            <w:pPr>
              <w:rPr>
                <w:rFonts w:ascii="Times New Roman" w:eastAsia="Times New Roman" w:hAnsi="Times New Roman" w:cs="Times New Roman"/>
                <w:sz w:val="20"/>
                <w:szCs w:val="20"/>
                <w:lang w:eastAsia="fr-FR"/>
              </w:rPr>
            </w:pPr>
          </w:p>
        </w:tc>
      </w:tr>
      <w:tr w:rsidR="008817C8" w:rsidRPr="008817C8" w14:paraId="607265ED" w14:textId="77777777" w:rsidTr="00E3318C">
        <w:trPr>
          <w:trHeight w:val="1990"/>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7757A"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lastRenderedPageBreak/>
              <w:t xml:space="preserve">Activité 2: Subventions aux équipes de recherche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29765"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Avis de non objection attendu pour les procédures des subventions dans les comptes institutionnels des porteurs de projets.</w:t>
            </w: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6E1E0"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Des échanges ont eu lieu entre les CEA et la mission mixte CEA/BM (28 mai 2022). Un accord de principe a été obtenu avec sur la question. La validation officielle de l'équipe AUA/BM est attendue.</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3FC4F"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Relancer la BM pour la diligence du virement des subventions dans les institutions des porteurs de projets.</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3236F"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La versement des subventions aux porteurs de projets.</w:t>
            </w:r>
          </w:p>
        </w:tc>
        <w:tc>
          <w:tcPr>
            <w:tcW w:w="55" w:type="pct"/>
            <w:vAlign w:val="center"/>
            <w:hideMark/>
          </w:tcPr>
          <w:p w14:paraId="06435722" w14:textId="77777777" w:rsidR="00B00643" w:rsidRPr="008817C8" w:rsidRDefault="00B00643" w:rsidP="008D7A30">
            <w:pPr>
              <w:rPr>
                <w:rFonts w:ascii="Times New Roman" w:eastAsia="Times New Roman" w:hAnsi="Times New Roman" w:cs="Times New Roman"/>
                <w:color w:val="000000" w:themeColor="text1"/>
                <w:sz w:val="20"/>
                <w:szCs w:val="20"/>
                <w:lang w:eastAsia="fr-FR"/>
              </w:rPr>
            </w:pPr>
          </w:p>
        </w:tc>
      </w:tr>
      <w:tr w:rsidR="008817C8" w:rsidRPr="008817C8" w14:paraId="6A51EDCB" w14:textId="77777777" w:rsidTr="00E3318C">
        <w:trPr>
          <w:trHeight w:val="841"/>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D263E"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 xml:space="preserve">Activité 3: </w:t>
            </w:r>
            <w:proofErr w:type="spellStart"/>
            <w:r w:rsidRPr="008817C8">
              <w:rPr>
                <w:rFonts w:ascii="Times New Roman" w:eastAsia="Times New Roman" w:hAnsi="Times New Roman" w:cs="Times New Roman"/>
                <w:color w:val="000000" w:themeColor="text1"/>
                <w:lang w:eastAsia="fr-FR"/>
              </w:rPr>
              <w:t>Echanges</w:t>
            </w:r>
            <w:proofErr w:type="spellEnd"/>
            <w:r w:rsidRPr="008817C8">
              <w:rPr>
                <w:rFonts w:ascii="Times New Roman" w:eastAsia="Times New Roman" w:hAnsi="Times New Roman" w:cs="Times New Roman"/>
                <w:color w:val="000000" w:themeColor="text1"/>
                <w:lang w:eastAsia="fr-FR"/>
              </w:rPr>
              <w:t xml:space="preserve"> d’enseignants avec d’autres organismes de recherche (Bourses de mobilité pour les chercheurs) </w:t>
            </w:r>
          </w:p>
        </w:tc>
        <w:tc>
          <w:tcPr>
            <w:tcW w:w="722" w:type="pct"/>
            <w:tcBorders>
              <w:top w:val="nil"/>
              <w:left w:val="nil"/>
              <w:bottom w:val="single" w:sz="4" w:space="0" w:color="auto"/>
              <w:right w:val="single" w:sz="4" w:space="0" w:color="auto"/>
            </w:tcBorders>
            <w:shd w:val="clear" w:color="auto" w:fill="auto"/>
            <w:vAlign w:val="center"/>
            <w:hideMark/>
          </w:tcPr>
          <w:p w14:paraId="3670D6A4"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Restriction des mobilités en raison de la pandémie.</w:t>
            </w:r>
          </w:p>
        </w:tc>
        <w:tc>
          <w:tcPr>
            <w:tcW w:w="1539" w:type="pct"/>
            <w:tcBorders>
              <w:top w:val="nil"/>
              <w:left w:val="nil"/>
              <w:bottom w:val="single" w:sz="4" w:space="0" w:color="auto"/>
              <w:right w:val="single" w:sz="4" w:space="0" w:color="auto"/>
            </w:tcBorders>
            <w:shd w:val="clear" w:color="auto" w:fill="auto"/>
            <w:noWrap/>
            <w:vAlign w:val="center"/>
            <w:hideMark/>
          </w:tcPr>
          <w:p w14:paraId="21E71B4F"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 </w:t>
            </w:r>
          </w:p>
        </w:tc>
        <w:tc>
          <w:tcPr>
            <w:tcW w:w="1010" w:type="pct"/>
            <w:tcBorders>
              <w:top w:val="nil"/>
              <w:left w:val="nil"/>
              <w:bottom w:val="single" w:sz="4" w:space="0" w:color="auto"/>
              <w:right w:val="single" w:sz="4" w:space="0" w:color="auto"/>
            </w:tcBorders>
            <w:shd w:val="clear" w:color="auto" w:fill="auto"/>
            <w:noWrap/>
            <w:vAlign w:val="center"/>
            <w:hideMark/>
          </w:tcPr>
          <w:p w14:paraId="3A0F7559" w14:textId="77777777"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 </w:t>
            </w:r>
          </w:p>
        </w:tc>
        <w:tc>
          <w:tcPr>
            <w:tcW w:w="815" w:type="pct"/>
            <w:tcBorders>
              <w:top w:val="nil"/>
              <w:left w:val="nil"/>
              <w:bottom w:val="single" w:sz="4" w:space="0" w:color="auto"/>
              <w:right w:val="single" w:sz="4" w:space="0" w:color="auto"/>
            </w:tcBorders>
            <w:shd w:val="clear" w:color="auto" w:fill="auto"/>
            <w:vAlign w:val="center"/>
            <w:hideMark/>
          </w:tcPr>
          <w:p w14:paraId="7E15B464" w14:textId="326F976E" w:rsidR="00B00643" w:rsidRPr="008817C8" w:rsidRDefault="00B00643" w:rsidP="008D7A30">
            <w:pPr>
              <w:rPr>
                <w:rFonts w:ascii="Times New Roman" w:eastAsia="Times New Roman" w:hAnsi="Times New Roman" w:cs="Times New Roman"/>
                <w:color w:val="000000" w:themeColor="text1"/>
                <w:lang w:eastAsia="fr-FR"/>
              </w:rPr>
            </w:pPr>
            <w:r w:rsidRPr="008817C8">
              <w:rPr>
                <w:rFonts w:ascii="Times New Roman" w:eastAsia="Times New Roman" w:hAnsi="Times New Roman" w:cs="Times New Roman"/>
                <w:color w:val="000000" w:themeColor="text1"/>
                <w:lang w:eastAsia="fr-FR"/>
              </w:rPr>
              <w:t>La période des vacances universitaires (à partir du moi</w:t>
            </w:r>
            <w:r w:rsidR="00DA7C9C">
              <w:rPr>
                <w:rFonts w:ascii="Times New Roman" w:eastAsia="Times New Roman" w:hAnsi="Times New Roman" w:cs="Times New Roman"/>
                <w:color w:val="000000" w:themeColor="text1"/>
                <w:lang w:eastAsia="fr-FR"/>
              </w:rPr>
              <w:t xml:space="preserve">s </w:t>
            </w:r>
            <w:r w:rsidRPr="008817C8">
              <w:rPr>
                <w:rFonts w:ascii="Times New Roman" w:eastAsia="Times New Roman" w:hAnsi="Times New Roman" w:cs="Times New Roman"/>
                <w:color w:val="000000" w:themeColor="text1"/>
                <w:lang w:eastAsia="fr-FR"/>
              </w:rPr>
              <w:t>de juillet) sera mise à profit pour l'organisation de voyages d'études et de reche</w:t>
            </w:r>
            <w:r w:rsidR="00625ECE" w:rsidRPr="008817C8">
              <w:rPr>
                <w:rFonts w:ascii="Times New Roman" w:eastAsia="Times New Roman" w:hAnsi="Times New Roman" w:cs="Times New Roman"/>
                <w:color w:val="000000" w:themeColor="text1"/>
                <w:lang w:eastAsia="fr-FR"/>
              </w:rPr>
              <w:t>r</w:t>
            </w:r>
            <w:r w:rsidRPr="008817C8">
              <w:rPr>
                <w:rFonts w:ascii="Times New Roman" w:eastAsia="Times New Roman" w:hAnsi="Times New Roman" w:cs="Times New Roman"/>
                <w:color w:val="000000" w:themeColor="text1"/>
                <w:lang w:eastAsia="fr-FR"/>
              </w:rPr>
              <w:t>che.</w:t>
            </w:r>
          </w:p>
        </w:tc>
        <w:tc>
          <w:tcPr>
            <w:tcW w:w="55" w:type="pct"/>
            <w:vAlign w:val="center"/>
            <w:hideMark/>
          </w:tcPr>
          <w:p w14:paraId="21B65119" w14:textId="77777777" w:rsidR="00B00643" w:rsidRPr="008817C8" w:rsidRDefault="00B00643" w:rsidP="008D7A30">
            <w:pPr>
              <w:rPr>
                <w:rFonts w:ascii="Times New Roman" w:eastAsia="Times New Roman" w:hAnsi="Times New Roman" w:cs="Times New Roman"/>
                <w:color w:val="000000" w:themeColor="text1"/>
                <w:sz w:val="20"/>
                <w:szCs w:val="20"/>
                <w:lang w:eastAsia="fr-FR"/>
              </w:rPr>
            </w:pPr>
          </w:p>
        </w:tc>
      </w:tr>
      <w:tr w:rsidR="00B00643" w:rsidRPr="002A4D17" w14:paraId="696C989D" w14:textId="77777777" w:rsidTr="00E3318C">
        <w:trPr>
          <w:trHeight w:val="310"/>
        </w:trPr>
        <w:tc>
          <w:tcPr>
            <w:tcW w:w="4945" w:type="pct"/>
            <w:gridSpan w:val="5"/>
            <w:tcBorders>
              <w:top w:val="nil"/>
              <w:left w:val="nil"/>
              <w:bottom w:val="single" w:sz="4" w:space="0" w:color="auto"/>
              <w:right w:val="nil"/>
            </w:tcBorders>
            <w:shd w:val="clear" w:color="000000" w:fill="D0CECE"/>
            <w:noWrap/>
            <w:vAlign w:val="center"/>
            <w:hideMark/>
          </w:tcPr>
          <w:p w14:paraId="641C6A0C" w14:textId="77777777" w:rsidR="00B00643" w:rsidRPr="00687642" w:rsidRDefault="00B00643" w:rsidP="008D7A30">
            <w:pPr>
              <w:rPr>
                <w:rFonts w:ascii="Times New Roman" w:eastAsia="Times New Roman" w:hAnsi="Times New Roman" w:cs="Times New Roman"/>
                <w:b/>
                <w:bCs/>
                <w:i/>
                <w:iCs/>
                <w:color w:val="000000"/>
                <w:lang w:eastAsia="fr-FR"/>
              </w:rPr>
            </w:pPr>
          </w:p>
          <w:p w14:paraId="311D3E61"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2c: Dissémination des résultats de recherche</w:t>
            </w:r>
          </w:p>
          <w:p w14:paraId="49EED7EB"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tcBorders>
              <w:bottom w:val="single" w:sz="4" w:space="0" w:color="auto"/>
            </w:tcBorders>
            <w:vAlign w:val="center"/>
            <w:hideMark/>
          </w:tcPr>
          <w:p w14:paraId="6ADE338D" w14:textId="77777777" w:rsidR="00B00643" w:rsidRPr="002A4D17" w:rsidRDefault="00B00643" w:rsidP="008D7A30">
            <w:pPr>
              <w:rPr>
                <w:rFonts w:ascii="Times New Roman" w:eastAsia="Times New Roman" w:hAnsi="Times New Roman" w:cs="Times New Roman"/>
                <w:sz w:val="20"/>
                <w:szCs w:val="20"/>
                <w:lang w:eastAsia="fr-FR"/>
              </w:rPr>
            </w:pPr>
          </w:p>
        </w:tc>
      </w:tr>
      <w:tr w:rsidR="00503240" w:rsidRPr="002A4D17" w14:paraId="556AFA71" w14:textId="77777777" w:rsidTr="00447093">
        <w:trPr>
          <w:trHeight w:val="928"/>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7AA90"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Appui à la  préparation de publications, fiches techniques, documents et ressources numériques de vulgarisation, participation à des rencontres scientifiques </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3AC6FC87"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Il n'y a eu d'obstacles.</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7ED292F1"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objectifs de publication ont été atteints.</w:t>
            </w:r>
          </w:p>
        </w:tc>
        <w:tc>
          <w:tcPr>
            <w:tcW w:w="1010" w:type="pct"/>
            <w:tcBorders>
              <w:top w:val="single" w:sz="4" w:space="0" w:color="auto"/>
              <w:left w:val="nil"/>
              <w:bottom w:val="single" w:sz="4" w:space="0" w:color="auto"/>
              <w:right w:val="single" w:sz="4" w:space="0" w:color="auto"/>
            </w:tcBorders>
            <w:shd w:val="clear" w:color="auto" w:fill="auto"/>
            <w:vAlign w:val="center"/>
            <w:hideMark/>
          </w:tcPr>
          <w:p w14:paraId="6F5C27D3"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15" w:type="pct"/>
            <w:vMerge w:val="restart"/>
            <w:tcBorders>
              <w:top w:val="single" w:sz="4" w:space="0" w:color="auto"/>
              <w:left w:val="nil"/>
              <w:right w:val="single" w:sz="4" w:space="0" w:color="auto"/>
            </w:tcBorders>
            <w:shd w:val="clear" w:color="auto" w:fill="auto"/>
            <w:vAlign w:val="center"/>
            <w:hideMark/>
          </w:tcPr>
          <w:p w14:paraId="5B7C8BAD"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Pr>
                <w:rFonts w:ascii="Times New Roman" w:eastAsia="Times New Roman" w:hAnsi="Times New Roman" w:cs="Times New Roman"/>
                <w:color w:val="000000"/>
                <w:lang w:eastAsia="fr-FR"/>
              </w:rPr>
              <w:t>Un appui sera apporté au auteurs qui souhaitent soumettre dans des revues répertoriées SCOPUS</w:t>
            </w:r>
          </w:p>
          <w:p w14:paraId="3D70C8A8" w14:textId="54075FB0"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tcBorders>
              <w:top w:val="single" w:sz="4" w:space="0" w:color="auto"/>
              <w:bottom w:val="single" w:sz="4" w:space="0" w:color="auto"/>
              <w:right w:val="single" w:sz="4" w:space="0" w:color="auto"/>
            </w:tcBorders>
            <w:vAlign w:val="center"/>
            <w:hideMark/>
          </w:tcPr>
          <w:p w14:paraId="2ACEAA60" w14:textId="77777777" w:rsidR="00503240" w:rsidRPr="002A4D17" w:rsidRDefault="00503240" w:rsidP="008D7A30">
            <w:pPr>
              <w:rPr>
                <w:rFonts w:ascii="Times New Roman" w:eastAsia="Times New Roman" w:hAnsi="Times New Roman" w:cs="Times New Roman"/>
                <w:sz w:val="20"/>
                <w:szCs w:val="20"/>
                <w:lang w:eastAsia="fr-FR"/>
              </w:rPr>
            </w:pPr>
          </w:p>
        </w:tc>
      </w:tr>
      <w:tr w:rsidR="00503240" w:rsidRPr="002A4D17" w14:paraId="57A05B14" w14:textId="77777777" w:rsidTr="00503240">
        <w:trPr>
          <w:trHeight w:val="674"/>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6AB87"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2: Publication de documents de recherche, de notes de politique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14:paraId="74BF11C9"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539" w:type="pct"/>
            <w:tcBorders>
              <w:top w:val="single" w:sz="4" w:space="0" w:color="auto"/>
              <w:left w:val="nil"/>
              <w:bottom w:val="single" w:sz="4" w:space="0" w:color="auto"/>
              <w:right w:val="single" w:sz="4" w:space="0" w:color="auto"/>
            </w:tcBorders>
            <w:shd w:val="clear" w:color="auto" w:fill="auto"/>
            <w:noWrap/>
            <w:vAlign w:val="center"/>
            <w:hideMark/>
          </w:tcPr>
          <w:p w14:paraId="611A519D" w14:textId="78CAE2F8"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Pr>
                <w:rFonts w:ascii="Times New Roman" w:eastAsia="Times New Roman" w:hAnsi="Times New Roman" w:cs="Times New Roman"/>
                <w:color w:val="000000"/>
                <w:lang w:eastAsia="fr-FR"/>
              </w:rPr>
              <w:t>Non budgétisé cette année</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14:paraId="49B9EF24" w14:textId="77777777" w:rsidR="00503240" w:rsidRPr="00687642" w:rsidRDefault="00503240"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15" w:type="pct"/>
            <w:vMerge/>
            <w:tcBorders>
              <w:left w:val="nil"/>
              <w:bottom w:val="single" w:sz="4" w:space="0" w:color="auto"/>
              <w:right w:val="single" w:sz="4" w:space="0" w:color="auto"/>
            </w:tcBorders>
            <w:shd w:val="clear" w:color="000000" w:fill="B4C6E7"/>
            <w:noWrap/>
            <w:vAlign w:val="center"/>
            <w:hideMark/>
          </w:tcPr>
          <w:p w14:paraId="7D18229F" w14:textId="6936197C" w:rsidR="00503240" w:rsidRPr="00687642" w:rsidRDefault="00503240" w:rsidP="008D7A30">
            <w:pPr>
              <w:rPr>
                <w:rFonts w:ascii="Times New Roman" w:eastAsia="Times New Roman" w:hAnsi="Times New Roman" w:cs="Times New Roman"/>
                <w:color w:val="000000"/>
                <w:lang w:eastAsia="fr-FR"/>
              </w:rPr>
            </w:pPr>
          </w:p>
        </w:tc>
        <w:tc>
          <w:tcPr>
            <w:tcW w:w="55" w:type="pct"/>
            <w:tcBorders>
              <w:top w:val="single" w:sz="4" w:space="0" w:color="auto"/>
            </w:tcBorders>
            <w:vAlign w:val="center"/>
            <w:hideMark/>
          </w:tcPr>
          <w:p w14:paraId="21F53935" w14:textId="77777777" w:rsidR="00503240" w:rsidRPr="002A4D17" w:rsidRDefault="00503240" w:rsidP="008D7A30">
            <w:pPr>
              <w:rPr>
                <w:rFonts w:ascii="Times New Roman" w:eastAsia="Times New Roman" w:hAnsi="Times New Roman" w:cs="Times New Roman"/>
                <w:sz w:val="20"/>
                <w:szCs w:val="20"/>
                <w:lang w:eastAsia="fr-FR"/>
              </w:rPr>
            </w:pPr>
          </w:p>
        </w:tc>
      </w:tr>
      <w:tr w:rsidR="00B00643" w:rsidRPr="002A4D17" w14:paraId="1D62675D" w14:textId="77777777" w:rsidTr="00E3318C">
        <w:trPr>
          <w:trHeight w:val="1547"/>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2EA47"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lastRenderedPageBreak/>
              <w:t xml:space="preserve">Activité 3: Organiser de journées portes ouvertes et de rencontres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14:paraId="5F7281B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Restriction liée à la pandémie</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46E7B7E7" w14:textId="445DB308" w:rsidR="00DF513D"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Le CEA a participé aux </w:t>
            </w:r>
            <w:proofErr w:type="spellStart"/>
            <w:r w:rsidRPr="00687642">
              <w:rPr>
                <w:rFonts w:ascii="Times New Roman" w:eastAsia="Times New Roman" w:hAnsi="Times New Roman" w:cs="Times New Roman"/>
                <w:color w:val="000000"/>
                <w:lang w:eastAsia="fr-FR"/>
              </w:rPr>
              <w:t>doctoriales</w:t>
            </w:r>
            <w:proofErr w:type="spellEnd"/>
            <w:r w:rsidRPr="00687642">
              <w:rPr>
                <w:rFonts w:ascii="Times New Roman" w:eastAsia="Times New Roman" w:hAnsi="Times New Roman" w:cs="Times New Roman"/>
                <w:color w:val="000000"/>
                <w:lang w:eastAsia="fr-FR"/>
              </w:rPr>
              <w:t xml:space="preserve"> de l'Université de Thiès.</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14:paraId="4286F202"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DFF0F71"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Le CEA participera aux </w:t>
            </w:r>
            <w:proofErr w:type="spellStart"/>
            <w:r w:rsidRPr="00687642">
              <w:rPr>
                <w:rFonts w:ascii="Times New Roman" w:eastAsia="Times New Roman" w:hAnsi="Times New Roman" w:cs="Times New Roman"/>
                <w:color w:val="000000"/>
                <w:lang w:eastAsia="fr-FR"/>
              </w:rPr>
              <w:t>doctoriales</w:t>
            </w:r>
            <w:proofErr w:type="spellEnd"/>
            <w:r w:rsidRPr="00687642">
              <w:rPr>
                <w:rFonts w:ascii="Times New Roman" w:eastAsia="Times New Roman" w:hAnsi="Times New Roman" w:cs="Times New Roman"/>
                <w:color w:val="000000"/>
                <w:lang w:eastAsia="fr-FR"/>
              </w:rPr>
              <w:t xml:space="preserve"> de l'école </w:t>
            </w:r>
            <w:proofErr w:type="spellStart"/>
            <w:r w:rsidRPr="00687642">
              <w:rPr>
                <w:rFonts w:ascii="Times New Roman" w:eastAsia="Times New Roman" w:hAnsi="Times New Roman" w:cs="Times New Roman"/>
                <w:color w:val="000000"/>
                <w:lang w:eastAsia="fr-FR"/>
              </w:rPr>
              <w:t>doctoriale</w:t>
            </w:r>
            <w:proofErr w:type="spellEnd"/>
            <w:r w:rsidRPr="00687642">
              <w:rPr>
                <w:rFonts w:ascii="Times New Roman" w:eastAsia="Times New Roman" w:hAnsi="Times New Roman" w:cs="Times New Roman"/>
                <w:color w:val="000000"/>
                <w:lang w:eastAsia="fr-FR"/>
              </w:rPr>
              <w:t xml:space="preserve"> SEV de l'UCAD.</w:t>
            </w:r>
          </w:p>
        </w:tc>
        <w:tc>
          <w:tcPr>
            <w:tcW w:w="55" w:type="pct"/>
            <w:vAlign w:val="center"/>
            <w:hideMark/>
          </w:tcPr>
          <w:p w14:paraId="4D003E49"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0AEB984B" w14:textId="77777777" w:rsidTr="00E3318C">
        <w:trPr>
          <w:trHeight w:val="1237"/>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4236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4: Valorisation des résultats de recherche par la diffusion des techniques et des technologies développées et la production d'actifs de propriété intellectuelle </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E8D8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DBA6" w14:textId="1434D283"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3318C">
              <w:rPr>
                <w:rFonts w:ascii="Times New Roman" w:eastAsia="Times New Roman" w:hAnsi="Times New Roman" w:cs="Times New Roman"/>
                <w:color w:val="000000"/>
                <w:lang w:eastAsia="fr-FR"/>
              </w:rPr>
              <w:t>Non budgétisé</w:t>
            </w:r>
            <w:r w:rsidR="00503240">
              <w:rPr>
                <w:rFonts w:ascii="Times New Roman" w:eastAsia="Times New Roman" w:hAnsi="Times New Roman" w:cs="Times New Roman"/>
                <w:color w:val="000000"/>
                <w:lang w:eastAsia="fr-FR"/>
              </w:rPr>
              <w:t xml:space="preserve"> cette année</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F3429"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065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tcBorders>
              <w:left w:val="single" w:sz="4" w:space="0" w:color="auto"/>
            </w:tcBorders>
            <w:vAlign w:val="center"/>
            <w:hideMark/>
          </w:tcPr>
          <w:p w14:paraId="03AC7AB1"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370D057B" w14:textId="77777777" w:rsidTr="00E3318C">
        <w:trPr>
          <w:trHeight w:val="928"/>
        </w:trPr>
        <w:tc>
          <w:tcPr>
            <w:tcW w:w="3120" w:type="pct"/>
            <w:gridSpan w:val="3"/>
            <w:tcBorders>
              <w:top w:val="single" w:sz="4" w:space="0" w:color="auto"/>
              <w:left w:val="nil"/>
              <w:bottom w:val="single" w:sz="4" w:space="0" w:color="auto"/>
              <w:right w:val="nil"/>
            </w:tcBorders>
            <w:shd w:val="clear" w:color="000000" w:fill="D0CECE"/>
            <w:noWrap/>
            <w:vAlign w:val="center"/>
            <w:hideMark/>
          </w:tcPr>
          <w:p w14:paraId="0B3E2D5F"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2d: Travaux de génie civile et équipement liés à la recherche/DLI4.3</w:t>
            </w:r>
          </w:p>
        </w:tc>
        <w:tc>
          <w:tcPr>
            <w:tcW w:w="1010" w:type="pct"/>
            <w:tcBorders>
              <w:top w:val="single" w:sz="4" w:space="0" w:color="auto"/>
              <w:left w:val="nil"/>
              <w:bottom w:val="single" w:sz="4" w:space="0" w:color="auto"/>
              <w:right w:val="nil"/>
            </w:tcBorders>
            <w:shd w:val="clear" w:color="000000" w:fill="D0CECE"/>
            <w:noWrap/>
            <w:vAlign w:val="center"/>
            <w:hideMark/>
          </w:tcPr>
          <w:p w14:paraId="6B5F4ADC"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815" w:type="pct"/>
            <w:tcBorders>
              <w:top w:val="single" w:sz="4" w:space="0" w:color="auto"/>
              <w:left w:val="nil"/>
              <w:bottom w:val="single" w:sz="4" w:space="0" w:color="auto"/>
              <w:right w:val="nil"/>
            </w:tcBorders>
            <w:shd w:val="clear" w:color="000000" w:fill="D0CECE"/>
            <w:noWrap/>
            <w:vAlign w:val="center"/>
            <w:hideMark/>
          </w:tcPr>
          <w:p w14:paraId="41C7C059"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tcBorders>
              <w:top w:val="nil"/>
              <w:left w:val="nil"/>
              <w:bottom w:val="single" w:sz="4" w:space="0" w:color="auto"/>
              <w:right w:val="nil"/>
            </w:tcBorders>
            <w:shd w:val="clear" w:color="000000" w:fill="D0CECE"/>
            <w:noWrap/>
            <w:vAlign w:val="center"/>
            <w:hideMark/>
          </w:tcPr>
          <w:p w14:paraId="272AFBDD" w14:textId="77777777" w:rsidR="00B00643" w:rsidRPr="002A4D17" w:rsidRDefault="00B00643" w:rsidP="008D7A30">
            <w:pPr>
              <w:rPr>
                <w:rFonts w:ascii="Times New Roman" w:eastAsia="Times New Roman" w:hAnsi="Times New Roman" w:cs="Times New Roman"/>
                <w:b/>
                <w:bCs/>
                <w:i/>
                <w:iCs/>
                <w:color w:val="000000"/>
                <w:lang w:eastAsia="fr-FR"/>
              </w:rPr>
            </w:pPr>
            <w:r w:rsidRPr="002A4D17">
              <w:rPr>
                <w:rFonts w:ascii="Times New Roman" w:eastAsia="Times New Roman" w:hAnsi="Times New Roman" w:cs="Times New Roman"/>
                <w:b/>
                <w:bCs/>
                <w:i/>
                <w:iCs/>
                <w:color w:val="000000"/>
                <w:lang w:eastAsia="fr-FR"/>
              </w:rPr>
              <w:t> </w:t>
            </w:r>
          </w:p>
        </w:tc>
      </w:tr>
      <w:tr w:rsidR="00B00643" w:rsidRPr="002A4D17" w14:paraId="7698F88E" w14:textId="77777777" w:rsidTr="00503240">
        <w:trPr>
          <w:trHeight w:val="1605"/>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8225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3 : Equipements de laboratoire et des locaux d'accueil des étudiants en stage et fermes école </w:t>
            </w:r>
          </w:p>
        </w:tc>
        <w:tc>
          <w:tcPr>
            <w:tcW w:w="722" w:type="pct"/>
            <w:tcBorders>
              <w:top w:val="nil"/>
              <w:left w:val="nil"/>
              <w:bottom w:val="single" w:sz="4" w:space="0" w:color="auto"/>
              <w:right w:val="single" w:sz="4" w:space="0" w:color="auto"/>
            </w:tcBorders>
            <w:shd w:val="clear" w:color="auto" w:fill="auto"/>
            <w:noWrap/>
            <w:vAlign w:val="center"/>
            <w:hideMark/>
          </w:tcPr>
          <w:p w14:paraId="2C6B2C18" w14:textId="78829720"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54520A">
              <w:rPr>
                <w:rFonts w:ascii="Times New Roman" w:eastAsia="Times New Roman" w:hAnsi="Times New Roman" w:cs="Times New Roman"/>
                <w:color w:val="000000"/>
                <w:lang w:eastAsia="fr-FR"/>
              </w:rPr>
              <w:t>En attente du PGES</w:t>
            </w:r>
          </w:p>
        </w:tc>
        <w:tc>
          <w:tcPr>
            <w:tcW w:w="1539" w:type="pct"/>
            <w:tcBorders>
              <w:top w:val="nil"/>
              <w:left w:val="nil"/>
              <w:bottom w:val="single" w:sz="4" w:space="0" w:color="auto"/>
              <w:right w:val="single" w:sz="4" w:space="0" w:color="auto"/>
            </w:tcBorders>
            <w:shd w:val="clear" w:color="auto" w:fill="auto"/>
            <w:noWrap/>
            <w:vAlign w:val="center"/>
            <w:hideMark/>
          </w:tcPr>
          <w:p w14:paraId="42FD250A" w14:textId="61EAD70D" w:rsidR="00B00643"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3318C">
              <w:rPr>
                <w:rFonts w:ascii="Times New Roman" w:eastAsia="Times New Roman" w:hAnsi="Times New Roman" w:cs="Times New Roman"/>
                <w:color w:val="000000"/>
                <w:lang w:eastAsia="fr-FR"/>
              </w:rPr>
              <w:t>Appel</w:t>
            </w:r>
            <w:r w:rsidR="0054520A">
              <w:rPr>
                <w:rFonts w:ascii="Times New Roman" w:eastAsia="Times New Roman" w:hAnsi="Times New Roman" w:cs="Times New Roman"/>
                <w:color w:val="000000"/>
                <w:lang w:eastAsia="fr-FR"/>
              </w:rPr>
              <w:t>s lancés, entrepris</w:t>
            </w:r>
            <w:r w:rsidR="00DA7C9C">
              <w:rPr>
                <w:rFonts w:ascii="Times New Roman" w:eastAsia="Times New Roman" w:hAnsi="Times New Roman" w:cs="Times New Roman"/>
                <w:color w:val="000000"/>
                <w:lang w:eastAsia="fr-FR"/>
              </w:rPr>
              <w:t>es s</w:t>
            </w:r>
            <w:r w:rsidR="0054520A">
              <w:rPr>
                <w:rFonts w:ascii="Times New Roman" w:eastAsia="Times New Roman" w:hAnsi="Times New Roman" w:cs="Times New Roman"/>
                <w:color w:val="000000"/>
                <w:lang w:eastAsia="fr-FR"/>
              </w:rPr>
              <w:t xml:space="preserve">électionnées </w:t>
            </w:r>
          </w:p>
          <w:p w14:paraId="10159BCB" w14:textId="77777777" w:rsidR="008002FF" w:rsidRDefault="008002FF"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Les réhabilitations ont démarré ;</w:t>
            </w:r>
          </w:p>
          <w:p w14:paraId="031A65F1" w14:textId="74324550" w:rsidR="0054520A" w:rsidRDefault="0054520A"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Des équipements sont en</w:t>
            </w:r>
            <w:r w:rsidR="000D0A72">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train d’</w:t>
            </w:r>
            <w:r w:rsidR="000D0A72">
              <w:rPr>
                <w:rFonts w:ascii="Times New Roman" w:eastAsia="Times New Roman" w:hAnsi="Times New Roman" w:cs="Times New Roman"/>
                <w:color w:val="000000"/>
                <w:lang w:eastAsia="fr-FR"/>
              </w:rPr>
              <w:t>être</w:t>
            </w:r>
            <w:r>
              <w:rPr>
                <w:rFonts w:ascii="Times New Roman" w:eastAsia="Times New Roman" w:hAnsi="Times New Roman" w:cs="Times New Roman"/>
                <w:color w:val="000000"/>
                <w:lang w:eastAsia="fr-FR"/>
              </w:rPr>
              <w:t xml:space="preserve"> fournis </w:t>
            </w:r>
            <w:r w:rsidR="008002FF">
              <w:rPr>
                <w:rFonts w:ascii="Times New Roman" w:eastAsia="Times New Roman" w:hAnsi="Times New Roman" w:cs="Times New Roman"/>
                <w:color w:val="000000"/>
                <w:lang w:eastAsia="fr-FR"/>
              </w:rPr>
              <w:t>par lot</w:t>
            </w:r>
          </w:p>
          <w:p w14:paraId="2687542F" w14:textId="5ABF9740" w:rsidR="0054520A" w:rsidRPr="00687642" w:rsidRDefault="0054520A" w:rsidP="008D7A30">
            <w:pPr>
              <w:rPr>
                <w:rFonts w:ascii="Times New Roman" w:eastAsia="Times New Roman" w:hAnsi="Times New Roman" w:cs="Times New Roman"/>
                <w:color w:val="000000"/>
                <w:lang w:eastAsia="fr-FR"/>
              </w:rPr>
            </w:pPr>
          </w:p>
        </w:tc>
        <w:tc>
          <w:tcPr>
            <w:tcW w:w="1010" w:type="pct"/>
            <w:tcBorders>
              <w:top w:val="nil"/>
              <w:left w:val="nil"/>
              <w:bottom w:val="single" w:sz="4" w:space="0" w:color="auto"/>
              <w:right w:val="single" w:sz="4" w:space="0" w:color="auto"/>
            </w:tcBorders>
            <w:shd w:val="clear" w:color="auto" w:fill="auto"/>
            <w:noWrap/>
            <w:vAlign w:val="center"/>
            <w:hideMark/>
          </w:tcPr>
          <w:p w14:paraId="30B5632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15" w:type="pct"/>
            <w:tcBorders>
              <w:top w:val="nil"/>
              <w:left w:val="nil"/>
              <w:bottom w:val="single" w:sz="4" w:space="0" w:color="auto"/>
              <w:right w:val="single" w:sz="4" w:space="0" w:color="auto"/>
            </w:tcBorders>
            <w:shd w:val="clear" w:color="auto" w:fill="auto"/>
            <w:noWrap/>
            <w:vAlign w:val="center"/>
            <w:hideMark/>
          </w:tcPr>
          <w:p w14:paraId="2206FDF5" w14:textId="4799F277" w:rsidR="00B00643"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54520A">
              <w:rPr>
                <w:rFonts w:ascii="Times New Roman" w:eastAsia="Times New Roman" w:hAnsi="Times New Roman" w:cs="Times New Roman"/>
                <w:color w:val="000000"/>
                <w:lang w:eastAsia="fr-FR"/>
              </w:rPr>
              <w:t>Les serres sont fabriqué</w:t>
            </w:r>
            <w:r w:rsidR="000D0A72">
              <w:rPr>
                <w:rFonts w:ascii="Times New Roman" w:eastAsia="Times New Roman" w:hAnsi="Times New Roman" w:cs="Times New Roman"/>
                <w:color w:val="000000"/>
                <w:lang w:eastAsia="fr-FR"/>
              </w:rPr>
              <w:t>e</w:t>
            </w:r>
            <w:r w:rsidR="0054520A">
              <w:rPr>
                <w:rFonts w:ascii="Times New Roman" w:eastAsia="Times New Roman" w:hAnsi="Times New Roman" w:cs="Times New Roman"/>
                <w:color w:val="000000"/>
                <w:lang w:eastAsia="fr-FR"/>
              </w:rPr>
              <w:t>s</w:t>
            </w:r>
            <w:r w:rsidR="000D0A72">
              <w:rPr>
                <w:rFonts w:ascii="Times New Roman" w:eastAsia="Times New Roman" w:hAnsi="Times New Roman" w:cs="Times New Roman"/>
                <w:color w:val="000000"/>
                <w:lang w:eastAsia="fr-FR"/>
              </w:rPr>
              <w:t xml:space="preserve"> </w:t>
            </w:r>
            <w:r w:rsidR="0054520A">
              <w:rPr>
                <w:rFonts w:ascii="Times New Roman" w:eastAsia="Times New Roman" w:hAnsi="Times New Roman" w:cs="Times New Roman"/>
                <w:color w:val="000000"/>
                <w:lang w:eastAsia="fr-FR"/>
              </w:rPr>
              <w:t xml:space="preserve">et seront posés </w:t>
            </w:r>
            <w:proofErr w:type="spellStart"/>
            <w:r w:rsidR="0054520A">
              <w:rPr>
                <w:rFonts w:ascii="Times New Roman" w:eastAsia="Times New Roman" w:hAnsi="Times New Roman" w:cs="Times New Roman"/>
                <w:color w:val="000000"/>
                <w:lang w:eastAsia="fr-FR"/>
              </w:rPr>
              <w:t>apr</w:t>
            </w:r>
            <w:r w:rsidR="000D0A72">
              <w:rPr>
                <w:rFonts w:ascii="Times New Roman" w:eastAsia="Times New Roman" w:hAnsi="Times New Roman" w:cs="Times New Roman"/>
                <w:color w:val="000000"/>
                <w:lang w:eastAsia="fr-FR"/>
              </w:rPr>
              <w:t>é</w:t>
            </w:r>
            <w:r w:rsidR="0054520A">
              <w:rPr>
                <w:rFonts w:ascii="Times New Roman" w:eastAsia="Times New Roman" w:hAnsi="Times New Roman" w:cs="Times New Roman"/>
                <w:color w:val="000000"/>
                <w:lang w:eastAsia="fr-FR"/>
              </w:rPr>
              <w:t>s</w:t>
            </w:r>
            <w:proofErr w:type="spellEnd"/>
            <w:r w:rsidR="0054520A">
              <w:rPr>
                <w:rFonts w:ascii="Times New Roman" w:eastAsia="Times New Roman" w:hAnsi="Times New Roman" w:cs="Times New Roman"/>
                <w:color w:val="000000"/>
                <w:lang w:eastAsia="fr-FR"/>
              </w:rPr>
              <w:t xml:space="preserve"> terrassements</w:t>
            </w:r>
          </w:p>
          <w:p w14:paraId="39A954A3" w14:textId="77F7A85A" w:rsidR="0054520A" w:rsidRPr="00687642" w:rsidRDefault="0054520A"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Cette activité sera finalisée au plu</w:t>
            </w:r>
            <w:r w:rsidR="000D0A72">
              <w:rPr>
                <w:rFonts w:ascii="Times New Roman" w:eastAsia="Times New Roman" w:hAnsi="Times New Roman" w:cs="Times New Roman"/>
                <w:color w:val="000000"/>
                <w:lang w:eastAsia="fr-FR"/>
              </w:rPr>
              <w:t xml:space="preserve">s </w:t>
            </w:r>
            <w:r>
              <w:rPr>
                <w:rFonts w:ascii="Times New Roman" w:eastAsia="Times New Roman" w:hAnsi="Times New Roman" w:cs="Times New Roman"/>
                <w:color w:val="000000"/>
                <w:lang w:eastAsia="fr-FR"/>
              </w:rPr>
              <w:t>tard en décembre 2022</w:t>
            </w:r>
          </w:p>
        </w:tc>
        <w:tc>
          <w:tcPr>
            <w:tcW w:w="55" w:type="pct"/>
            <w:tcBorders>
              <w:bottom w:val="single" w:sz="4" w:space="0" w:color="auto"/>
            </w:tcBorders>
            <w:vAlign w:val="center"/>
            <w:hideMark/>
          </w:tcPr>
          <w:p w14:paraId="3020D505" w14:textId="77777777" w:rsidR="00B00643" w:rsidRPr="002A4D17" w:rsidRDefault="00B00643" w:rsidP="008D7A30">
            <w:pPr>
              <w:rPr>
                <w:rFonts w:ascii="Times New Roman" w:eastAsia="Times New Roman" w:hAnsi="Times New Roman" w:cs="Times New Roman"/>
                <w:sz w:val="20"/>
                <w:szCs w:val="20"/>
                <w:lang w:eastAsia="fr-FR"/>
              </w:rPr>
            </w:pPr>
          </w:p>
        </w:tc>
      </w:tr>
    </w:tbl>
    <w:p w14:paraId="65845452" w14:textId="77777777" w:rsidR="00B00643" w:rsidRDefault="00B00643" w:rsidP="00B00643">
      <w:pPr>
        <w:tabs>
          <w:tab w:val="left" w:pos="2479"/>
          <w:tab w:val="left" w:pos="4607"/>
          <w:tab w:val="left" w:pos="9143"/>
          <w:tab w:val="left" w:pos="12120"/>
          <w:tab w:val="left" w:pos="14522"/>
        </w:tabs>
        <w:ind w:left="-55"/>
        <w:rPr>
          <w:rFonts w:ascii="Times New Roman" w:eastAsia="Times New Roman" w:hAnsi="Times New Roman" w:cs="Times New Roman"/>
          <w:color w:val="000000"/>
          <w:lang w:eastAsia="fr-FR"/>
        </w:rPr>
      </w:pPr>
    </w:p>
    <w:p w14:paraId="20A3CDFE" w14:textId="77777777" w:rsidR="00B00643" w:rsidRDefault="00B00643" w:rsidP="00B00643">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br w:type="page"/>
      </w:r>
    </w:p>
    <w:p w14:paraId="47225AF2" w14:textId="77777777" w:rsidR="00B00643" w:rsidRPr="002A4D17" w:rsidRDefault="00B00643" w:rsidP="00B00643">
      <w:pPr>
        <w:tabs>
          <w:tab w:val="left" w:pos="2479"/>
          <w:tab w:val="left" w:pos="4607"/>
          <w:tab w:val="left" w:pos="9143"/>
          <w:tab w:val="left" w:pos="12120"/>
          <w:tab w:val="left" w:pos="14522"/>
        </w:tabs>
        <w:ind w:left="-55"/>
        <w:rPr>
          <w:rFonts w:ascii="Times New Roman" w:eastAsia="Times New Roman" w:hAnsi="Times New Roman" w:cs="Times New Roman"/>
          <w:sz w:val="20"/>
          <w:szCs w:val="20"/>
          <w:lang w:eastAsia="fr-FR"/>
        </w:rPr>
      </w:pPr>
    </w:p>
    <w:tbl>
      <w:tblPr>
        <w:tblW w:w="5201" w:type="pct"/>
        <w:tblInd w:w="-110" w:type="dxa"/>
        <w:tblLayout w:type="fixed"/>
        <w:tblCellMar>
          <w:left w:w="70" w:type="dxa"/>
          <w:right w:w="70" w:type="dxa"/>
        </w:tblCellMar>
        <w:tblLook w:val="04A0" w:firstRow="1" w:lastRow="0" w:firstColumn="1" w:lastColumn="0" w:noHBand="0" w:noVBand="1"/>
      </w:tblPr>
      <w:tblGrid>
        <w:gridCol w:w="2505"/>
        <w:gridCol w:w="2102"/>
        <w:gridCol w:w="4483"/>
        <w:gridCol w:w="2943"/>
        <w:gridCol w:w="2374"/>
        <w:gridCol w:w="160"/>
      </w:tblGrid>
      <w:tr w:rsidR="00B00643" w:rsidRPr="002A4D17" w14:paraId="3CB0AD11" w14:textId="77777777" w:rsidTr="008D7A30">
        <w:trPr>
          <w:trHeight w:val="683"/>
        </w:trPr>
        <w:tc>
          <w:tcPr>
            <w:tcW w:w="4946" w:type="pct"/>
            <w:gridSpan w:val="5"/>
            <w:tcBorders>
              <w:top w:val="single" w:sz="4" w:space="0" w:color="auto"/>
              <w:left w:val="nil"/>
              <w:bottom w:val="single" w:sz="4" w:space="0" w:color="auto"/>
              <w:right w:val="nil"/>
            </w:tcBorders>
            <w:shd w:val="clear" w:color="000000" w:fill="9BC2E6"/>
            <w:noWrap/>
            <w:vAlign w:val="center"/>
            <w:hideMark/>
          </w:tcPr>
          <w:p w14:paraId="0C07CF4F" w14:textId="34AE67CC" w:rsidR="00B00643" w:rsidRPr="00687642" w:rsidRDefault="00625ECE" w:rsidP="008D7A30">
            <w:pPr>
              <w:rPr>
                <w:rFonts w:ascii="Times New Roman" w:eastAsia="Times New Roman" w:hAnsi="Times New Roman" w:cs="Times New Roman"/>
                <w:b/>
                <w:bCs/>
                <w:color w:val="000000"/>
                <w:lang w:eastAsia="fr-FR"/>
              </w:rPr>
            </w:pPr>
            <w:r w:rsidRPr="00625ECE">
              <w:rPr>
                <w:rFonts w:ascii="Times New Roman" w:eastAsia="Times New Roman" w:hAnsi="Times New Roman" w:cs="Times New Roman"/>
                <w:b/>
                <w:bCs/>
                <w:color w:val="000000"/>
                <w:lang w:eastAsia="fr-FR"/>
              </w:rPr>
              <w:t xml:space="preserve">PLAN D’ACTION </w:t>
            </w:r>
            <w:r w:rsidR="00B00643" w:rsidRPr="00625ECE">
              <w:rPr>
                <w:rFonts w:ascii="Times New Roman" w:eastAsia="Times New Roman" w:hAnsi="Times New Roman" w:cs="Times New Roman"/>
                <w:b/>
                <w:bCs/>
                <w:color w:val="000000"/>
                <w:lang w:eastAsia="fr-FR"/>
              </w:rPr>
              <w:t>PARTENARIAT</w:t>
            </w:r>
          </w:p>
        </w:tc>
        <w:tc>
          <w:tcPr>
            <w:tcW w:w="54" w:type="pct"/>
            <w:vAlign w:val="center"/>
            <w:hideMark/>
          </w:tcPr>
          <w:p w14:paraId="22A8B190"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46D2B9B3" w14:textId="77777777" w:rsidTr="008D7A30">
        <w:trPr>
          <w:trHeight w:val="310"/>
        </w:trPr>
        <w:tc>
          <w:tcPr>
            <w:tcW w:w="4946" w:type="pct"/>
            <w:gridSpan w:val="5"/>
            <w:tcBorders>
              <w:top w:val="nil"/>
              <w:left w:val="nil"/>
              <w:bottom w:val="single" w:sz="4" w:space="0" w:color="auto"/>
              <w:right w:val="nil"/>
            </w:tcBorders>
            <w:shd w:val="clear" w:color="000000" w:fill="D0CECE"/>
            <w:noWrap/>
            <w:vAlign w:val="center"/>
            <w:hideMark/>
          </w:tcPr>
          <w:p w14:paraId="60EC3127" w14:textId="77777777" w:rsidR="00B00643" w:rsidRPr="00687642" w:rsidRDefault="00B00643" w:rsidP="008D7A30">
            <w:pPr>
              <w:rPr>
                <w:rFonts w:ascii="Times New Roman" w:eastAsia="Times New Roman" w:hAnsi="Times New Roman" w:cs="Times New Roman"/>
                <w:b/>
                <w:bCs/>
                <w:i/>
                <w:iCs/>
                <w:color w:val="000000"/>
                <w:lang w:eastAsia="fr-FR"/>
              </w:rPr>
            </w:pPr>
          </w:p>
          <w:p w14:paraId="6026860C"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3a: Partenariat</w:t>
            </w:r>
          </w:p>
          <w:p w14:paraId="40F1753E"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4" w:type="pct"/>
            <w:vAlign w:val="center"/>
            <w:hideMark/>
          </w:tcPr>
          <w:p w14:paraId="0A2BA12C"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010BB559" w14:textId="77777777" w:rsidTr="008D7A30">
        <w:trPr>
          <w:gridAfter w:val="1"/>
          <w:wAfter w:w="54" w:type="pct"/>
          <w:trHeight w:val="365"/>
        </w:trPr>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AE205" w14:textId="77777777" w:rsidR="00B00643" w:rsidRPr="002A4D17" w:rsidRDefault="00B00643" w:rsidP="008D7A30">
            <w:pPr>
              <w:rPr>
                <w:rFonts w:ascii="Times New Roman" w:eastAsia="Times New Roman" w:hAnsi="Times New Roman" w:cs="Times New Roman"/>
                <w:b/>
                <w:bCs/>
                <w:i/>
                <w:iCs/>
                <w:color w:val="000000"/>
                <w:lang w:eastAsia="fr-FR"/>
              </w:rPr>
            </w:pPr>
          </w:p>
        </w:tc>
        <w:tc>
          <w:tcPr>
            <w:tcW w:w="3271" w:type="pct"/>
            <w:gridSpan w:val="3"/>
            <w:tcBorders>
              <w:top w:val="nil"/>
              <w:left w:val="nil"/>
              <w:bottom w:val="single" w:sz="4" w:space="0" w:color="auto"/>
              <w:right w:val="single" w:sz="4" w:space="0" w:color="auto"/>
            </w:tcBorders>
            <w:shd w:val="clear" w:color="auto" w:fill="FFF2CC" w:themeFill="accent4" w:themeFillTint="33"/>
            <w:vAlign w:val="center"/>
          </w:tcPr>
          <w:p w14:paraId="112D9311" w14:textId="77777777" w:rsidR="00B00643" w:rsidRPr="002A4D17" w:rsidRDefault="00B00643" w:rsidP="008D7A30">
            <w:pPr>
              <w:jc w:val="center"/>
              <w:rPr>
                <w:rFonts w:ascii="Calibri" w:eastAsia="Times New Roman" w:hAnsi="Calibri" w:cs="Calibri"/>
                <w:b/>
                <w:bCs/>
                <w:color w:val="000000"/>
                <w:lang w:eastAsia="fr-FR"/>
              </w:rPr>
            </w:pPr>
            <w:r w:rsidRPr="002A4D17">
              <w:rPr>
                <w:rFonts w:ascii="Times New Roman" w:eastAsia="Times New Roman" w:hAnsi="Times New Roman" w:cs="Times New Roman"/>
                <w:b/>
                <w:bCs/>
                <w:color w:val="000000"/>
                <w:lang w:eastAsia="fr-FR"/>
              </w:rPr>
              <w:t>Engagements 2 derniers mois (mars-avril)</w:t>
            </w:r>
          </w:p>
        </w:tc>
        <w:tc>
          <w:tcPr>
            <w:tcW w:w="815" w:type="pct"/>
            <w:tcBorders>
              <w:top w:val="nil"/>
              <w:left w:val="nil"/>
              <w:bottom w:val="single" w:sz="4" w:space="0" w:color="auto"/>
              <w:right w:val="single" w:sz="4" w:space="0" w:color="auto"/>
            </w:tcBorders>
            <w:shd w:val="clear" w:color="auto" w:fill="FFFFFF" w:themeFill="background1"/>
            <w:noWrap/>
            <w:vAlign w:val="center"/>
          </w:tcPr>
          <w:p w14:paraId="1C6F9DF6" w14:textId="77777777" w:rsidR="00B00643" w:rsidRPr="002A4D17" w:rsidRDefault="00B00643" w:rsidP="008D7A30">
            <w:pPr>
              <w:ind w:firstLineChars="100" w:firstLine="241"/>
              <w:rPr>
                <w:rFonts w:ascii="Times New Roman" w:eastAsia="Times New Roman" w:hAnsi="Times New Roman" w:cs="Times New Roman"/>
                <w:b/>
                <w:bCs/>
                <w:color w:val="000000"/>
                <w:lang w:eastAsia="fr-FR"/>
              </w:rPr>
            </w:pPr>
          </w:p>
        </w:tc>
      </w:tr>
      <w:tr w:rsidR="00B00643" w:rsidRPr="002A4D17" w14:paraId="2B87F60D" w14:textId="77777777" w:rsidTr="008D7A30">
        <w:trPr>
          <w:gridAfter w:val="1"/>
          <w:wAfter w:w="54" w:type="pct"/>
          <w:trHeight w:val="507"/>
        </w:trPr>
        <w:tc>
          <w:tcPr>
            <w:tcW w:w="8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38B5AE" w14:textId="77777777" w:rsidR="00B00643" w:rsidRPr="002A4D17" w:rsidRDefault="00B00643" w:rsidP="008D7A30">
            <w:pPr>
              <w:rPr>
                <w:rFonts w:ascii="Times New Roman" w:eastAsia="Times New Roman" w:hAnsi="Times New Roman" w:cs="Times New Roman"/>
                <w:b/>
                <w:bCs/>
                <w:i/>
                <w:iCs/>
                <w:color w:val="000000"/>
                <w:lang w:eastAsia="fr-FR"/>
              </w:rPr>
            </w:pPr>
            <w:r w:rsidRPr="002A4D17">
              <w:rPr>
                <w:rFonts w:ascii="Times New Roman" w:eastAsia="Times New Roman" w:hAnsi="Times New Roman" w:cs="Times New Roman"/>
                <w:b/>
                <w:bCs/>
                <w:i/>
                <w:iCs/>
                <w:color w:val="000000"/>
                <w:lang w:eastAsia="fr-FR"/>
              </w:rPr>
              <w:t>Sous-action 1a: Renforcement des capacités physiques</w:t>
            </w:r>
          </w:p>
        </w:tc>
        <w:tc>
          <w:tcPr>
            <w:tcW w:w="722" w:type="pct"/>
            <w:tcBorders>
              <w:top w:val="nil"/>
              <w:left w:val="nil"/>
              <w:bottom w:val="single" w:sz="4" w:space="0" w:color="auto"/>
              <w:right w:val="single" w:sz="4" w:space="0" w:color="auto"/>
            </w:tcBorders>
            <w:shd w:val="clear" w:color="auto" w:fill="FFF2CC" w:themeFill="accent4" w:themeFillTint="33"/>
            <w:vAlign w:val="center"/>
          </w:tcPr>
          <w:p w14:paraId="4F9E9D57"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Points d'obstacles</w:t>
            </w:r>
          </w:p>
        </w:tc>
        <w:tc>
          <w:tcPr>
            <w:tcW w:w="1539" w:type="pct"/>
            <w:tcBorders>
              <w:top w:val="nil"/>
              <w:left w:val="nil"/>
              <w:bottom w:val="single" w:sz="4" w:space="0" w:color="auto"/>
              <w:right w:val="single" w:sz="4" w:space="0" w:color="auto"/>
            </w:tcBorders>
            <w:shd w:val="clear" w:color="auto" w:fill="FFF2CC" w:themeFill="accent4" w:themeFillTint="33"/>
            <w:vAlign w:val="center"/>
          </w:tcPr>
          <w:p w14:paraId="130702B4"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Niveau d'exécution</w:t>
            </w:r>
          </w:p>
        </w:tc>
        <w:tc>
          <w:tcPr>
            <w:tcW w:w="1010" w:type="pct"/>
            <w:tcBorders>
              <w:top w:val="nil"/>
              <w:left w:val="nil"/>
              <w:bottom w:val="single" w:sz="4" w:space="0" w:color="auto"/>
              <w:right w:val="single" w:sz="4" w:space="0" w:color="auto"/>
            </w:tcBorders>
            <w:shd w:val="clear" w:color="auto" w:fill="FFF2CC" w:themeFill="accent4" w:themeFillTint="33"/>
            <w:vAlign w:val="center"/>
          </w:tcPr>
          <w:p w14:paraId="0EFF5CAE"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Mesures d'accélération</w:t>
            </w:r>
          </w:p>
        </w:tc>
        <w:tc>
          <w:tcPr>
            <w:tcW w:w="815" w:type="pct"/>
            <w:tcBorders>
              <w:top w:val="nil"/>
              <w:left w:val="nil"/>
              <w:bottom w:val="single" w:sz="4" w:space="0" w:color="auto"/>
              <w:right w:val="single" w:sz="4" w:space="0" w:color="auto"/>
            </w:tcBorders>
            <w:shd w:val="clear" w:color="auto" w:fill="E2EFD9" w:themeFill="accent6" w:themeFillTint="33"/>
            <w:noWrap/>
            <w:vAlign w:val="center"/>
          </w:tcPr>
          <w:p w14:paraId="759335E8" w14:textId="77777777" w:rsidR="00B00643" w:rsidRPr="002A4D17" w:rsidRDefault="00B00643" w:rsidP="008D7A30">
            <w:pPr>
              <w:rPr>
                <w:rFonts w:ascii="Times New Roman" w:eastAsia="Times New Roman" w:hAnsi="Times New Roman" w:cs="Times New Roman"/>
                <w:b/>
                <w:bCs/>
                <w:color w:val="000000"/>
                <w:lang w:eastAsia="fr-FR"/>
              </w:rPr>
            </w:pPr>
            <w:r w:rsidRPr="00762A45">
              <w:rPr>
                <w:rFonts w:ascii="Times New Roman" w:eastAsia="Times New Roman" w:hAnsi="Times New Roman" w:cs="Times New Roman"/>
                <w:b/>
                <w:bCs/>
                <w:color w:val="000000"/>
                <w:lang w:eastAsia="fr-FR"/>
              </w:rPr>
              <w:t>Engagements 2 prochains mois (juin-juillet)</w:t>
            </w:r>
          </w:p>
        </w:tc>
      </w:tr>
      <w:tr w:rsidR="00B00643" w:rsidRPr="002A4D17" w14:paraId="14417E93" w14:textId="77777777" w:rsidTr="008D7A30">
        <w:trPr>
          <w:trHeight w:val="1856"/>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71270"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1: Développement de partenariats avec les industriels et les partenaires sectoriels</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11A1"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Il n'y a pas d'obstacles</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1030172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Les acteurs du monde socio-professionnels sont membres actifs du consortium. Ils participent aux activités du CEA (élaboration des curricula, formation, accueil de stagiaires, projets de recherche)</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14:paraId="1FF4AF20" w14:textId="316E66EA"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DF513D">
              <w:rPr>
                <w:rFonts w:ascii="Times New Roman" w:eastAsia="Times New Roman" w:hAnsi="Times New Roman" w:cs="Times New Roman"/>
                <w:color w:val="000000"/>
                <w:lang w:eastAsia="fr-FR"/>
              </w:rPr>
              <w:t>Faire des missions de benchmarking</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14:paraId="08EF1973" w14:textId="53E40401"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DF513D">
              <w:rPr>
                <w:rFonts w:ascii="Times New Roman" w:eastAsia="Times New Roman" w:hAnsi="Times New Roman" w:cs="Times New Roman"/>
                <w:color w:val="000000"/>
                <w:lang w:eastAsia="fr-FR"/>
              </w:rPr>
              <w:t xml:space="preserve">Des missions sont </w:t>
            </w:r>
            <w:r w:rsidR="00547FCA">
              <w:rPr>
                <w:rFonts w:ascii="Times New Roman" w:eastAsia="Times New Roman" w:hAnsi="Times New Roman" w:cs="Times New Roman"/>
                <w:color w:val="000000"/>
                <w:lang w:eastAsia="fr-FR"/>
              </w:rPr>
              <w:t>prévues avant la fin 2022</w:t>
            </w:r>
          </w:p>
        </w:tc>
        <w:tc>
          <w:tcPr>
            <w:tcW w:w="54" w:type="pct"/>
            <w:vAlign w:val="center"/>
            <w:hideMark/>
          </w:tcPr>
          <w:p w14:paraId="57AFF471"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5C5BE1F6" w14:textId="77777777" w:rsidTr="00503240">
        <w:trPr>
          <w:trHeight w:val="2482"/>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199F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2: Développement de partenariats académiques nationaux et régionaux en </w:t>
            </w:r>
            <w:proofErr w:type="spellStart"/>
            <w:r w:rsidRPr="00687642">
              <w:rPr>
                <w:rFonts w:ascii="Times New Roman" w:eastAsia="Times New Roman" w:hAnsi="Times New Roman" w:cs="Times New Roman"/>
                <w:color w:val="000000"/>
                <w:lang w:eastAsia="fr-FR"/>
              </w:rPr>
              <w:t>matiére</w:t>
            </w:r>
            <w:proofErr w:type="spellEnd"/>
            <w:r w:rsidRPr="00687642">
              <w:rPr>
                <w:rFonts w:ascii="Times New Roman" w:eastAsia="Times New Roman" w:hAnsi="Times New Roman" w:cs="Times New Roman"/>
                <w:color w:val="000000"/>
                <w:lang w:eastAsia="fr-FR"/>
              </w:rPr>
              <w:t xml:space="preserve"> de formation, de recherche et d'expertise en agriculture et en sécurité</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14:paraId="659CFE16"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Il n'y a pas d'obstacles</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52CC6BE8" w14:textId="6D7A8582"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Des projets de partenariat ont été montés et sont en cours d'exécution. Un master interuniversitaire sera mis en place.</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14:paraId="07547BED"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F22E201" w14:textId="0506CBF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Un atelier de réflexion sur les curricula de formation pour le master interuniversitaire en agroécologie entre l'USSEIN, </w:t>
            </w:r>
            <w:r w:rsidR="00A26BD3" w:rsidRPr="00687642">
              <w:rPr>
                <w:rFonts w:ascii="Times New Roman" w:eastAsia="Times New Roman" w:hAnsi="Times New Roman" w:cs="Times New Roman"/>
                <w:color w:val="000000"/>
                <w:lang w:eastAsia="fr-FR"/>
              </w:rPr>
              <w:t xml:space="preserve">l'UCAD </w:t>
            </w:r>
            <w:r w:rsidRPr="00687642">
              <w:rPr>
                <w:rFonts w:ascii="Times New Roman" w:eastAsia="Times New Roman" w:hAnsi="Times New Roman" w:cs="Times New Roman"/>
                <w:color w:val="000000"/>
                <w:lang w:eastAsia="fr-FR"/>
              </w:rPr>
              <w:t>et l'UIDT.</w:t>
            </w:r>
          </w:p>
        </w:tc>
        <w:tc>
          <w:tcPr>
            <w:tcW w:w="54" w:type="pct"/>
            <w:vAlign w:val="center"/>
            <w:hideMark/>
          </w:tcPr>
          <w:p w14:paraId="08450EF7" w14:textId="77777777" w:rsidR="00B00643" w:rsidRPr="002A4D17" w:rsidRDefault="00B00643" w:rsidP="008D7A30">
            <w:pPr>
              <w:rPr>
                <w:rFonts w:ascii="Times New Roman" w:eastAsia="Times New Roman" w:hAnsi="Times New Roman" w:cs="Times New Roman"/>
                <w:sz w:val="20"/>
                <w:szCs w:val="20"/>
                <w:lang w:eastAsia="fr-FR"/>
              </w:rPr>
            </w:pPr>
          </w:p>
        </w:tc>
      </w:tr>
    </w:tbl>
    <w:p w14:paraId="4BF8781A" w14:textId="77777777" w:rsidR="00B00643" w:rsidRDefault="00B00643" w:rsidP="00B00643">
      <w:pPr>
        <w:rPr>
          <w:rFonts w:ascii="Times New Roman" w:eastAsia="Times New Roman" w:hAnsi="Times New Roman" w:cs="Times New Roman"/>
          <w:b/>
          <w:bCs/>
          <w:i/>
          <w:iCs/>
          <w:color w:val="000000"/>
          <w:lang w:eastAsia="fr-FR"/>
        </w:rPr>
      </w:pPr>
    </w:p>
    <w:p w14:paraId="16246034" w14:textId="77777777" w:rsidR="00B00643" w:rsidRDefault="00B00643" w:rsidP="00B00643">
      <w:pPr>
        <w:rPr>
          <w:rFonts w:ascii="Times New Roman" w:eastAsia="Times New Roman" w:hAnsi="Times New Roman" w:cs="Times New Roman"/>
          <w:b/>
          <w:bCs/>
          <w:i/>
          <w:iCs/>
          <w:color w:val="000000"/>
          <w:lang w:eastAsia="fr-FR"/>
        </w:rPr>
      </w:pPr>
      <w:r>
        <w:rPr>
          <w:rFonts w:ascii="Times New Roman" w:eastAsia="Times New Roman" w:hAnsi="Times New Roman" w:cs="Times New Roman"/>
          <w:b/>
          <w:bCs/>
          <w:i/>
          <w:iCs/>
          <w:color w:val="000000"/>
          <w:lang w:eastAsia="fr-FR"/>
        </w:rPr>
        <w:br w:type="page"/>
      </w:r>
    </w:p>
    <w:p w14:paraId="5C00332E" w14:textId="77777777" w:rsidR="00B00643" w:rsidRPr="007D5FAB" w:rsidRDefault="00B00643" w:rsidP="00B00643">
      <w:pPr>
        <w:rPr>
          <w:rFonts w:ascii="Times New Roman" w:eastAsia="Times New Roman" w:hAnsi="Times New Roman" w:cs="Times New Roman"/>
          <w:color w:val="FF0000"/>
          <w:sz w:val="20"/>
          <w:szCs w:val="20"/>
          <w:lang w:eastAsia="fr-FR"/>
        </w:rPr>
      </w:pPr>
    </w:p>
    <w:tbl>
      <w:tblPr>
        <w:tblW w:w="5227" w:type="pct"/>
        <w:tblInd w:w="-175" w:type="dxa"/>
        <w:tblLayout w:type="fixed"/>
        <w:tblCellMar>
          <w:left w:w="70" w:type="dxa"/>
          <w:right w:w="70" w:type="dxa"/>
        </w:tblCellMar>
        <w:tblLook w:val="04A0" w:firstRow="1" w:lastRow="0" w:firstColumn="1" w:lastColumn="0" w:noHBand="0" w:noVBand="1"/>
      </w:tblPr>
      <w:tblGrid>
        <w:gridCol w:w="3289"/>
        <w:gridCol w:w="1920"/>
        <w:gridCol w:w="2807"/>
        <w:gridCol w:w="3793"/>
        <w:gridCol w:w="2666"/>
        <w:gridCol w:w="160"/>
      </w:tblGrid>
      <w:tr w:rsidR="00B00643" w:rsidRPr="002A4D17" w14:paraId="11417975" w14:textId="77777777" w:rsidTr="0082033E">
        <w:trPr>
          <w:trHeight w:val="300"/>
        </w:trPr>
        <w:tc>
          <w:tcPr>
            <w:tcW w:w="4945" w:type="pct"/>
            <w:gridSpan w:val="5"/>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EB84029" w14:textId="01FF16E8" w:rsidR="00B00643" w:rsidRPr="00687642" w:rsidRDefault="00625ECE" w:rsidP="008D7A30">
            <w:pPr>
              <w:rPr>
                <w:rFonts w:ascii="Times New Roman" w:eastAsia="Times New Roman" w:hAnsi="Times New Roman" w:cs="Times New Roman"/>
                <w:b/>
                <w:bCs/>
                <w:color w:val="000000"/>
                <w:lang w:eastAsia="fr-FR"/>
              </w:rPr>
            </w:pPr>
            <w:r w:rsidRPr="00625ECE">
              <w:rPr>
                <w:rFonts w:ascii="Times New Roman" w:eastAsia="Times New Roman" w:hAnsi="Times New Roman" w:cs="Times New Roman"/>
                <w:b/>
                <w:bCs/>
                <w:color w:val="000000"/>
                <w:lang w:eastAsia="fr-FR"/>
              </w:rPr>
              <w:t xml:space="preserve">PLAN D’ACTION </w:t>
            </w:r>
            <w:r w:rsidR="00B00643" w:rsidRPr="00687642">
              <w:rPr>
                <w:rFonts w:ascii="Times New Roman" w:eastAsia="Times New Roman" w:hAnsi="Times New Roman" w:cs="Times New Roman"/>
                <w:b/>
                <w:bCs/>
                <w:color w:val="000000"/>
                <w:lang w:eastAsia="fr-FR"/>
              </w:rPr>
              <w:t>GOUVERNANCE</w:t>
            </w:r>
          </w:p>
        </w:tc>
        <w:tc>
          <w:tcPr>
            <w:tcW w:w="55" w:type="pct"/>
            <w:tcBorders>
              <w:left w:val="single" w:sz="4" w:space="0" w:color="auto"/>
            </w:tcBorders>
            <w:vAlign w:val="center"/>
            <w:hideMark/>
          </w:tcPr>
          <w:p w14:paraId="4D820D35"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B9BC283" w14:textId="77777777" w:rsidTr="0082033E">
        <w:trPr>
          <w:trHeight w:val="591"/>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DD30C2" w14:textId="77777777" w:rsidR="00B00643" w:rsidRPr="002A4D17" w:rsidRDefault="00B00643" w:rsidP="008D7A30">
            <w:pPr>
              <w:rPr>
                <w:rFonts w:ascii="Times New Roman" w:eastAsia="Times New Roman" w:hAnsi="Times New Roman" w:cs="Times New Roman"/>
                <w:b/>
                <w:bCs/>
                <w:i/>
                <w:iCs/>
                <w:color w:val="000000"/>
                <w:lang w:eastAsia="fr-FR"/>
              </w:rPr>
            </w:pPr>
          </w:p>
        </w:tc>
        <w:tc>
          <w:tcPr>
            <w:tcW w:w="2911"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BA43F3F" w14:textId="77777777" w:rsidR="00B00643" w:rsidRPr="002A4D17" w:rsidRDefault="00B00643" w:rsidP="008D7A30">
            <w:pPr>
              <w:jc w:val="center"/>
              <w:rPr>
                <w:rFonts w:ascii="Times New Roman" w:eastAsia="Times New Roman" w:hAnsi="Times New Roman" w:cs="Times New Roman"/>
                <w:b/>
                <w:bCs/>
                <w:i/>
                <w:iCs/>
                <w:color w:val="000000"/>
                <w:lang w:eastAsia="fr-FR"/>
              </w:rPr>
            </w:pPr>
            <w:r w:rsidRPr="002A4D17">
              <w:rPr>
                <w:rFonts w:ascii="Times New Roman" w:eastAsia="Times New Roman" w:hAnsi="Times New Roman" w:cs="Times New Roman"/>
                <w:b/>
                <w:bCs/>
                <w:color w:val="000000"/>
                <w:lang w:eastAsia="fr-FR"/>
              </w:rPr>
              <w:t>Engagements 2 derniers mois (mars-avril)</w:t>
            </w:r>
          </w:p>
        </w:tc>
        <w:tc>
          <w:tcPr>
            <w:tcW w:w="9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1B1348" w14:textId="77777777" w:rsidR="00B00643" w:rsidRPr="002A4D17" w:rsidRDefault="00B00643" w:rsidP="008D7A30">
            <w:pPr>
              <w:jc w:val="center"/>
              <w:rPr>
                <w:rFonts w:ascii="Calibri" w:eastAsia="Times New Roman" w:hAnsi="Calibri" w:cs="Calibri"/>
                <w:b/>
                <w:bCs/>
                <w:color w:val="000000"/>
                <w:lang w:eastAsia="fr-FR"/>
              </w:rPr>
            </w:pPr>
          </w:p>
        </w:tc>
        <w:tc>
          <w:tcPr>
            <w:tcW w:w="55" w:type="pct"/>
            <w:tcBorders>
              <w:left w:val="single" w:sz="4" w:space="0" w:color="auto"/>
            </w:tcBorders>
            <w:vAlign w:val="center"/>
          </w:tcPr>
          <w:p w14:paraId="34BF57E5"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03F324D4"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181D8A9" w14:textId="77777777" w:rsidR="00B00643" w:rsidRPr="002A4D17" w:rsidRDefault="00B00643" w:rsidP="008D7A30">
            <w:pPr>
              <w:rPr>
                <w:rFonts w:ascii="Times New Roman" w:eastAsia="Times New Roman" w:hAnsi="Times New Roman" w:cs="Times New Roman"/>
                <w:b/>
                <w:bCs/>
                <w:i/>
                <w:iCs/>
                <w:color w:val="000000"/>
                <w:lang w:eastAsia="fr-FR"/>
              </w:rPr>
            </w:pPr>
            <w:r w:rsidRPr="002A4D17">
              <w:rPr>
                <w:rFonts w:ascii="Times New Roman" w:eastAsia="Times New Roman" w:hAnsi="Times New Roman" w:cs="Times New Roman"/>
                <w:b/>
                <w:bCs/>
                <w:i/>
                <w:iCs/>
                <w:color w:val="000000"/>
                <w:lang w:eastAsia="fr-FR"/>
              </w:rPr>
              <w:t>Sous-action 1a: Renforcement des capacités physiques</w:t>
            </w:r>
          </w:p>
        </w:tc>
        <w:tc>
          <w:tcPr>
            <w:tcW w:w="656"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D61804B"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Points d'obstacles</w:t>
            </w:r>
          </w:p>
        </w:tc>
        <w:tc>
          <w:tcPr>
            <w:tcW w:w="95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083A03A" w14:textId="77777777" w:rsidR="00B00643" w:rsidRPr="002A4D17" w:rsidRDefault="00B00643" w:rsidP="008D7A30">
            <w:pPr>
              <w:rPr>
                <w:rFonts w:ascii="Calibri" w:eastAsia="Times New Roman" w:hAnsi="Calibri" w:cs="Calibri"/>
                <w:b/>
                <w:bCs/>
                <w:color w:val="000000"/>
                <w:lang w:eastAsia="fr-FR"/>
              </w:rPr>
            </w:pPr>
            <w:r w:rsidRPr="002A4D17">
              <w:rPr>
                <w:rFonts w:ascii="Calibri" w:eastAsia="Times New Roman" w:hAnsi="Calibri" w:cs="Calibri"/>
                <w:b/>
                <w:bCs/>
                <w:color w:val="000000"/>
                <w:lang w:eastAsia="fr-FR"/>
              </w:rPr>
              <w:t>Niveau d'exécution</w:t>
            </w:r>
          </w:p>
        </w:tc>
        <w:tc>
          <w:tcPr>
            <w:tcW w:w="1296"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4A6A8E3" w14:textId="77777777" w:rsidR="00B00643" w:rsidRPr="002A4D17" w:rsidRDefault="00B00643" w:rsidP="008D7A30">
            <w:pPr>
              <w:rPr>
                <w:rFonts w:ascii="Times New Roman" w:eastAsia="Times New Roman" w:hAnsi="Times New Roman" w:cs="Times New Roman"/>
                <w:b/>
                <w:bCs/>
                <w:i/>
                <w:iCs/>
                <w:color w:val="000000"/>
                <w:lang w:eastAsia="fr-FR"/>
              </w:rPr>
            </w:pPr>
            <w:r w:rsidRPr="002A4D17">
              <w:rPr>
                <w:rFonts w:ascii="Calibri" w:eastAsia="Times New Roman" w:hAnsi="Calibri" w:cs="Calibri"/>
                <w:b/>
                <w:bCs/>
                <w:color w:val="000000"/>
                <w:lang w:eastAsia="fr-FR"/>
              </w:rPr>
              <w:t>Mesures d'accélération</w:t>
            </w:r>
          </w:p>
        </w:tc>
        <w:tc>
          <w:tcPr>
            <w:tcW w:w="91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8A9E1CE" w14:textId="50327269" w:rsidR="00B00643" w:rsidRPr="002A4D17" w:rsidRDefault="00B00643" w:rsidP="008D7A30">
            <w:pPr>
              <w:rPr>
                <w:rFonts w:ascii="Calibri" w:eastAsia="Times New Roman" w:hAnsi="Calibri" w:cs="Calibri"/>
                <w:b/>
                <w:bCs/>
                <w:color w:val="000000"/>
                <w:lang w:eastAsia="fr-FR"/>
              </w:rPr>
            </w:pPr>
            <w:r w:rsidRPr="002A4D17">
              <w:rPr>
                <w:rFonts w:ascii="Times New Roman" w:eastAsia="Times New Roman" w:hAnsi="Times New Roman" w:cs="Times New Roman"/>
                <w:b/>
                <w:bCs/>
                <w:color w:val="000000"/>
                <w:lang w:eastAsia="fr-FR"/>
              </w:rPr>
              <w:t xml:space="preserve">Engagements 2 </w:t>
            </w:r>
            <w:r w:rsidR="00907239">
              <w:rPr>
                <w:rFonts w:ascii="Times New Roman" w:eastAsia="Times New Roman" w:hAnsi="Times New Roman" w:cs="Times New Roman"/>
                <w:b/>
                <w:bCs/>
                <w:color w:val="000000"/>
                <w:lang w:eastAsia="fr-FR"/>
              </w:rPr>
              <w:t>prochains</w:t>
            </w:r>
            <w:r w:rsidRPr="002A4D17">
              <w:rPr>
                <w:rFonts w:ascii="Times New Roman" w:eastAsia="Times New Roman" w:hAnsi="Times New Roman" w:cs="Times New Roman"/>
                <w:b/>
                <w:bCs/>
                <w:color w:val="000000"/>
                <w:lang w:eastAsia="fr-FR"/>
              </w:rPr>
              <w:t xml:space="preserve"> mois (</w:t>
            </w:r>
            <w:r w:rsidR="00907239" w:rsidRPr="00762A45">
              <w:rPr>
                <w:rFonts w:ascii="Times New Roman" w:eastAsia="Times New Roman" w:hAnsi="Times New Roman" w:cs="Times New Roman"/>
                <w:b/>
                <w:bCs/>
                <w:color w:val="000000"/>
                <w:lang w:eastAsia="fr-FR"/>
              </w:rPr>
              <w:t>(juin-juillet)</w:t>
            </w:r>
          </w:p>
        </w:tc>
        <w:tc>
          <w:tcPr>
            <w:tcW w:w="55" w:type="pct"/>
            <w:tcBorders>
              <w:left w:val="single" w:sz="4" w:space="0" w:color="auto"/>
            </w:tcBorders>
            <w:vAlign w:val="center"/>
          </w:tcPr>
          <w:p w14:paraId="284897C5"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6479D17"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1D89EB3"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4a: Frais de Personnel</w:t>
            </w:r>
          </w:p>
        </w:tc>
        <w:tc>
          <w:tcPr>
            <w:tcW w:w="656"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4D1006"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959"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D6C653C"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1296"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2748B56"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911"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C12223B"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tcBorders>
              <w:left w:val="single" w:sz="4" w:space="0" w:color="auto"/>
            </w:tcBorders>
            <w:vAlign w:val="center"/>
            <w:hideMark/>
          </w:tcPr>
          <w:p w14:paraId="6EB80FEB"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4069255" w14:textId="77777777" w:rsidTr="0082033E">
        <w:trPr>
          <w:trHeight w:val="928"/>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2326E"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1:  Staff administratif / support</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14:paraId="66356CD7" w14:textId="2CD59E4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F63610">
              <w:rPr>
                <w:rFonts w:ascii="Times New Roman" w:eastAsia="Times New Roman" w:hAnsi="Times New Roman" w:cs="Times New Roman"/>
                <w:color w:val="000000"/>
                <w:lang w:eastAsia="fr-FR"/>
              </w:rPr>
              <w:t xml:space="preserve">ANO pour le </w:t>
            </w:r>
            <w:r w:rsidR="004C7E2D">
              <w:rPr>
                <w:rFonts w:ascii="Times New Roman" w:eastAsia="Times New Roman" w:hAnsi="Times New Roman" w:cs="Times New Roman"/>
                <w:color w:val="000000"/>
                <w:lang w:eastAsia="fr-FR"/>
              </w:rPr>
              <w:t>Recrutement d’un comptable</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14:paraId="2878614A" w14:textId="6C603FB6" w:rsidR="00B00643"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F63610">
              <w:rPr>
                <w:rFonts w:ascii="Times New Roman" w:eastAsia="Times New Roman" w:hAnsi="Times New Roman" w:cs="Times New Roman"/>
                <w:color w:val="000000"/>
                <w:lang w:eastAsia="fr-FR"/>
              </w:rPr>
              <w:t>ANO obtenu depuis le mois depuis mars 2022</w:t>
            </w:r>
          </w:p>
          <w:p w14:paraId="2A9D6DDE" w14:textId="165511A2" w:rsidR="004C7E2D" w:rsidRPr="00687642" w:rsidRDefault="004C7E2D"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L’appel à candidature </w:t>
            </w:r>
            <w:r w:rsidR="008E37B2">
              <w:rPr>
                <w:rFonts w:ascii="Times New Roman" w:eastAsia="Times New Roman" w:hAnsi="Times New Roman" w:cs="Times New Roman"/>
                <w:color w:val="000000"/>
                <w:lang w:eastAsia="fr-FR"/>
              </w:rPr>
              <w:t>avait été</w:t>
            </w:r>
            <w:r>
              <w:rPr>
                <w:rFonts w:ascii="Times New Roman" w:eastAsia="Times New Roman" w:hAnsi="Times New Roman" w:cs="Times New Roman"/>
                <w:color w:val="000000"/>
                <w:lang w:eastAsia="fr-FR"/>
              </w:rPr>
              <w:t xml:space="preserve"> publié</w:t>
            </w:r>
            <w:r w:rsidR="00DE3A94">
              <w:rPr>
                <w:rFonts w:ascii="Times New Roman" w:eastAsia="Times New Roman" w:hAnsi="Times New Roman" w:cs="Times New Roman"/>
                <w:color w:val="000000"/>
                <w:lang w:eastAsia="fr-FR"/>
              </w:rPr>
              <w:t> ;</w:t>
            </w:r>
            <w:r w:rsidR="008E37B2">
              <w:rPr>
                <w:rFonts w:ascii="Times New Roman" w:eastAsia="Times New Roman" w:hAnsi="Times New Roman" w:cs="Times New Roman"/>
                <w:color w:val="000000"/>
                <w:lang w:eastAsia="fr-FR"/>
              </w:rPr>
              <w:t xml:space="preserve"> en avril 2022</w:t>
            </w:r>
            <w:r w:rsidR="00DE3A94">
              <w:rPr>
                <w:rFonts w:ascii="Times New Roman" w:eastAsia="Times New Roman" w:hAnsi="Times New Roman" w:cs="Times New Roman"/>
                <w:color w:val="000000"/>
                <w:lang w:eastAsia="fr-FR"/>
              </w:rPr>
              <w:t xml:space="preserve"> des candidats ont été sélectionnés et classés </w:t>
            </w:r>
            <w:r w:rsidR="008E37B2">
              <w:rPr>
                <w:rFonts w:ascii="Times New Roman" w:eastAsia="Times New Roman" w:hAnsi="Times New Roman" w:cs="Times New Roman"/>
                <w:color w:val="000000"/>
                <w:lang w:eastAsia="fr-FR"/>
              </w:rPr>
              <w:t>a</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56AF935E" w14:textId="56FED9A0" w:rsidR="00B00643"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4C7E2D">
              <w:rPr>
                <w:rFonts w:ascii="Times New Roman" w:eastAsia="Times New Roman" w:hAnsi="Times New Roman" w:cs="Times New Roman"/>
                <w:color w:val="000000"/>
                <w:lang w:eastAsia="fr-FR"/>
              </w:rPr>
              <w:t>Le comptable du SAMEF assur</w:t>
            </w:r>
            <w:r w:rsidR="00F63610">
              <w:rPr>
                <w:rFonts w:ascii="Times New Roman" w:eastAsia="Times New Roman" w:hAnsi="Times New Roman" w:cs="Times New Roman"/>
                <w:color w:val="000000"/>
                <w:lang w:eastAsia="fr-FR"/>
              </w:rPr>
              <w:t>e</w:t>
            </w:r>
            <w:r w:rsidR="004C7E2D">
              <w:rPr>
                <w:rFonts w:ascii="Times New Roman" w:eastAsia="Times New Roman" w:hAnsi="Times New Roman" w:cs="Times New Roman"/>
                <w:color w:val="000000"/>
                <w:lang w:eastAsia="fr-FR"/>
              </w:rPr>
              <w:t xml:space="preserve"> la comptabilité de l’ensemble des CEA</w:t>
            </w:r>
            <w:r w:rsidR="00DE3A94">
              <w:rPr>
                <w:rFonts w:ascii="Times New Roman" w:eastAsia="Times New Roman" w:hAnsi="Times New Roman" w:cs="Times New Roman"/>
                <w:color w:val="000000"/>
                <w:lang w:eastAsia="fr-FR"/>
              </w:rPr>
              <w:t> ;</w:t>
            </w:r>
          </w:p>
          <w:p w14:paraId="2BF941A1" w14:textId="4BBC72AB" w:rsidR="00DE3A94" w:rsidRDefault="00DE3A94"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Les négociation</w:t>
            </w:r>
            <w:r w:rsidR="00DA7C9C">
              <w:rPr>
                <w:rFonts w:ascii="Times New Roman" w:eastAsia="Times New Roman" w:hAnsi="Times New Roman" w:cs="Times New Roman"/>
                <w:color w:val="000000"/>
                <w:lang w:eastAsia="fr-FR"/>
              </w:rPr>
              <w:t xml:space="preserve">s </w:t>
            </w:r>
            <w:r>
              <w:rPr>
                <w:rFonts w:ascii="Times New Roman" w:eastAsia="Times New Roman" w:hAnsi="Times New Roman" w:cs="Times New Roman"/>
                <w:color w:val="000000"/>
                <w:lang w:eastAsia="fr-FR"/>
              </w:rPr>
              <w:t xml:space="preserve"> auront lieu avant le 31 mai pour la finalisation du recrutement</w:t>
            </w:r>
          </w:p>
          <w:p w14:paraId="748C977D" w14:textId="24FB45C0" w:rsidR="00DE3A94" w:rsidRPr="00687642" w:rsidRDefault="00DE3A94" w:rsidP="008D7A30">
            <w:pPr>
              <w:rPr>
                <w:rFonts w:ascii="Times New Roman" w:eastAsia="Times New Roman" w:hAnsi="Times New Roman" w:cs="Times New Roman"/>
                <w:color w:val="000000"/>
                <w:lang w:eastAsia="fr-FR"/>
              </w:rPr>
            </w:pP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14:paraId="509C9F4E" w14:textId="46D46859"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DE3A94">
              <w:rPr>
                <w:rFonts w:ascii="Times New Roman" w:eastAsia="Times New Roman" w:hAnsi="Times New Roman" w:cs="Times New Roman"/>
                <w:color w:val="000000"/>
                <w:lang w:eastAsia="fr-FR"/>
              </w:rPr>
              <w:t xml:space="preserve">Le processus de recrutement a été déclenché et suit son cours </w:t>
            </w:r>
          </w:p>
        </w:tc>
        <w:tc>
          <w:tcPr>
            <w:tcW w:w="55" w:type="pct"/>
            <w:vAlign w:val="center"/>
            <w:hideMark/>
          </w:tcPr>
          <w:p w14:paraId="239847C8"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3F75A448"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8961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2: Staff Technique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14:paraId="4F1256E1" w14:textId="513473D0"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8E37B2">
              <w:rPr>
                <w:rFonts w:ascii="Times New Roman" w:eastAsia="Times New Roman" w:hAnsi="Times New Roman" w:cs="Times New Roman"/>
                <w:color w:val="000000"/>
                <w:lang w:eastAsia="fr-FR"/>
              </w:rPr>
              <w:t xml:space="preserve">Lourdeur administratif dans le processus de recrutement du personnel </w:t>
            </w:r>
            <w:r w:rsidR="00A26BD3">
              <w:rPr>
                <w:rFonts w:ascii="Times New Roman" w:eastAsia="Times New Roman" w:hAnsi="Times New Roman" w:cs="Times New Roman"/>
                <w:color w:val="000000"/>
                <w:lang w:eastAsia="fr-FR"/>
              </w:rPr>
              <w:t>notamment, RSE et Assistant de direction</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14:paraId="0D9BD8DF" w14:textId="1BE91CC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1420F1">
              <w:rPr>
                <w:rFonts w:ascii="Times New Roman" w:eastAsia="Times New Roman" w:hAnsi="Times New Roman" w:cs="Times New Roman"/>
                <w:color w:val="000000"/>
                <w:lang w:eastAsia="fr-FR"/>
              </w:rPr>
              <w:t>La mission d’expert</w:t>
            </w:r>
            <w:r w:rsidR="00547FCA">
              <w:rPr>
                <w:rFonts w:ascii="Times New Roman" w:eastAsia="Times New Roman" w:hAnsi="Times New Roman" w:cs="Times New Roman"/>
                <w:color w:val="000000"/>
                <w:lang w:eastAsia="fr-FR"/>
              </w:rPr>
              <w:t xml:space="preserve">s </w:t>
            </w:r>
            <w:r w:rsidR="001420F1">
              <w:rPr>
                <w:rFonts w:ascii="Times New Roman" w:eastAsia="Times New Roman" w:hAnsi="Times New Roman" w:cs="Times New Roman"/>
                <w:color w:val="000000"/>
                <w:lang w:eastAsia="fr-FR"/>
              </w:rPr>
              <w:t>propose de prendre des prestataire</w:t>
            </w:r>
            <w:r w:rsidR="00547FCA">
              <w:rPr>
                <w:rFonts w:ascii="Times New Roman" w:eastAsia="Times New Roman" w:hAnsi="Times New Roman" w:cs="Times New Roman"/>
                <w:color w:val="000000"/>
                <w:lang w:eastAsia="fr-FR"/>
              </w:rPr>
              <w:t>s</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2EDBA267" w14:textId="5B062DE9"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1420F1">
              <w:rPr>
                <w:rFonts w:ascii="Times New Roman" w:eastAsia="Times New Roman" w:hAnsi="Times New Roman" w:cs="Times New Roman"/>
                <w:color w:val="000000"/>
                <w:lang w:eastAsia="fr-FR"/>
              </w:rPr>
              <w:t>Des prestataires seront enrôlés pour assurer ces postes</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14:paraId="3AF21685" w14:textId="0C19A0D5"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A26BD3">
              <w:rPr>
                <w:rFonts w:ascii="Times New Roman" w:eastAsia="Times New Roman" w:hAnsi="Times New Roman" w:cs="Times New Roman"/>
                <w:color w:val="000000"/>
                <w:lang w:eastAsia="fr-FR"/>
              </w:rPr>
              <w:t xml:space="preserve">Des contrats de prestation seront établis et des faisant fonction s de RSE et Assistant seront disponibles </w:t>
            </w:r>
          </w:p>
        </w:tc>
        <w:tc>
          <w:tcPr>
            <w:tcW w:w="55" w:type="pct"/>
            <w:vAlign w:val="center"/>
            <w:hideMark/>
          </w:tcPr>
          <w:p w14:paraId="7456C2A2"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10A0371" w14:textId="77777777" w:rsidTr="0082033E">
        <w:trPr>
          <w:trHeight w:val="92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C397F" w14:textId="0A9985ED"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3: Per </w:t>
            </w:r>
            <w:proofErr w:type="spellStart"/>
            <w:r w:rsidRPr="00687642">
              <w:rPr>
                <w:rFonts w:ascii="Times New Roman" w:eastAsia="Times New Roman" w:hAnsi="Times New Roman" w:cs="Times New Roman"/>
                <w:color w:val="000000"/>
                <w:lang w:eastAsia="fr-FR"/>
              </w:rPr>
              <w:t>diems</w:t>
            </w:r>
            <w:proofErr w:type="spellEnd"/>
            <w:r w:rsidRPr="00687642">
              <w:rPr>
                <w:rFonts w:ascii="Times New Roman" w:eastAsia="Times New Roman" w:hAnsi="Times New Roman" w:cs="Times New Roman"/>
                <w:color w:val="000000"/>
                <w:lang w:eastAsia="fr-FR"/>
              </w:rPr>
              <w:t xml:space="preserve"> </w:t>
            </w:r>
            <w:r w:rsidR="00547FCA">
              <w:rPr>
                <w:rFonts w:ascii="Times New Roman" w:eastAsia="Times New Roman" w:hAnsi="Times New Roman" w:cs="Times New Roman"/>
                <w:color w:val="000000"/>
                <w:lang w:eastAsia="fr-FR"/>
              </w:rPr>
              <w:t>pour</w:t>
            </w:r>
            <w:r w:rsidRPr="00687642">
              <w:rPr>
                <w:rFonts w:ascii="Times New Roman" w:eastAsia="Times New Roman" w:hAnsi="Times New Roman" w:cs="Times New Roman"/>
                <w:color w:val="000000"/>
                <w:lang w:eastAsia="fr-FR"/>
              </w:rPr>
              <w:t xml:space="preserve"> missions / </w:t>
            </w:r>
            <w:proofErr w:type="spellStart"/>
            <w:r w:rsidRPr="00687642">
              <w:rPr>
                <w:rFonts w:ascii="Times New Roman" w:eastAsia="Times New Roman" w:hAnsi="Times New Roman" w:cs="Times New Roman"/>
                <w:color w:val="000000"/>
                <w:lang w:eastAsia="fr-FR"/>
              </w:rPr>
              <w:t>travel</w:t>
            </w:r>
            <w:proofErr w:type="spellEnd"/>
            <w:r w:rsidRPr="00687642">
              <w:rPr>
                <w:rFonts w:ascii="Times New Roman" w:eastAsia="Times New Roman" w:hAnsi="Times New Roman" w:cs="Times New Roman"/>
                <w:color w:val="000000"/>
                <w:lang w:eastAsia="fr-FR"/>
              </w:rPr>
              <w:t xml:space="preserve"> pour la gouvernance</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14:paraId="7EA680B8" w14:textId="517518F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547FCA">
              <w:rPr>
                <w:rFonts w:ascii="Times New Roman" w:eastAsia="Times New Roman" w:hAnsi="Times New Roman" w:cs="Times New Roman"/>
                <w:color w:val="000000"/>
                <w:lang w:eastAsia="fr-FR"/>
              </w:rPr>
              <w:t>Pas d’obstacle</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14:paraId="54A50CE7" w14:textId="26B62743"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4E7AD4">
              <w:rPr>
                <w:rFonts w:ascii="Times New Roman" w:eastAsia="Times New Roman" w:hAnsi="Times New Roman" w:cs="Times New Roman"/>
                <w:color w:val="000000"/>
                <w:lang w:eastAsia="fr-FR"/>
              </w:rPr>
              <w:t xml:space="preserve">Ils ont permis au staff de participer aux réunions  annuelles des </w:t>
            </w:r>
            <w:proofErr w:type="spellStart"/>
            <w:r w:rsidR="004E7AD4">
              <w:rPr>
                <w:rFonts w:ascii="Times New Roman" w:eastAsia="Times New Roman" w:hAnsi="Times New Roman" w:cs="Times New Roman"/>
                <w:color w:val="000000"/>
                <w:lang w:eastAsia="fr-FR"/>
              </w:rPr>
              <w:t>CEAs</w:t>
            </w:r>
            <w:proofErr w:type="spellEnd"/>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5AECCFB6"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14:paraId="49E95222" w14:textId="7E713723" w:rsidR="00B00643" w:rsidRPr="00687642" w:rsidRDefault="00992C0E"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Deux missions </w:t>
            </w:r>
            <w:r w:rsidR="00A26BD3">
              <w:rPr>
                <w:rFonts w:ascii="Times New Roman" w:eastAsia="Times New Roman" w:hAnsi="Times New Roman" w:cs="Times New Roman"/>
                <w:color w:val="000000"/>
                <w:lang w:eastAsia="fr-FR"/>
              </w:rPr>
              <w:t>seront</w:t>
            </w:r>
            <w:r>
              <w:rPr>
                <w:rFonts w:ascii="Times New Roman" w:eastAsia="Times New Roman" w:hAnsi="Times New Roman" w:cs="Times New Roman"/>
                <w:color w:val="000000"/>
                <w:lang w:eastAsia="fr-FR"/>
              </w:rPr>
              <w:t xml:space="preserve"> </w:t>
            </w:r>
            <w:r w:rsidR="00A26BD3">
              <w:rPr>
                <w:rFonts w:ascii="Times New Roman" w:eastAsia="Times New Roman" w:hAnsi="Times New Roman" w:cs="Times New Roman"/>
                <w:color w:val="000000"/>
                <w:lang w:eastAsia="fr-FR"/>
              </w:rPr>
              <w:t>menées</w:t>
            </w:r>
            <w:r>
              <w:rPr>
                <w:rFonts w:ascii="Times New Roman" w:eastAsia="Times New Roman" w:hAnsi="Times New Roman" w:cs="Times New Roman"/>
                <w:color w:val="000000"/>
                <w:lang w:eastAsia="fr-FR"/>
              </w:rPr>
              <w:t xml:space="preserve"> en Guinée et en </w:t>
            </w:r>
            <w:r w:rsidR="00907239">
              <w:rPr>
                <w:rFonts w:ascii="Times New Roman" w:eastAsia="Times New Roman" w:hAnsi="Times New Roman" w:cs="Times New Roman"/>
                <w:color w:val="000000"/>
                <w:lang w:eastAsia="fr-FR"/>
              </w:rPr>
              <w:t>France</w:t>
            </w:r>
          </w:p>
        </w:tc>
        <w:tc>
          <w:tcPr>
            <w:tcW w:w="55" w:type="pct"/>
            <w:vAlign w:val="center"/>
            <w:hideMark/>
          </w:tcPr>
          <w:p w14:paraId="1700B41A"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9229C15" w14:textId="77777777" w:rsidTr="0082033E">
        <w:trPr>
          <w:trHeight w:val="835"/>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2D028"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4: Renforcement de capacité</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5AA8" w14:textId="4E50A6AF"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547FCA">
              <w:rPr>
                <w:rFonts w:ascii="Times New Roman" w:eastAsia="Times New Roman" w:hAnsi="Times New Roman" w:cs="Times New Roman"/>
                <w:color w:val="000000"/>
                <w:lang w:eastAsia="fr-FR"/>
              </w:rPr>
              <w:t>Pas d’obstacle</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CDDA" w14:textId="2DC2BA5F"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4E7AD4">
              <w:rPr>
                <w:rFonts w:ascii="Times New Roman" w:eastAsia="Times New Roman" w:hAnsi="Times New Roman" w:cs="Times New Roman"/>
                <w:color w:val="000000"/>
                <w:lang w:eastAsia="fr-FR"/>
              </w:rPr>
              <w:t>Des formations sont programmées</w:t>
            </w:r>
          </w:p>
        </w:tc>
        <w:tc>
          <w:tcPr>
            <w:tcW w:w="1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F07A" w14:textId="67AAF078"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B2456">
              <w:rPr>
                <w:rFonts w:ascii="Times New Roman" w:eastAsia="Times New Roman" w:hAnsi="Times New Roman" w:cs="Times New Roman"/>
                <w:color w:val="000000"/>
                <w:lang w:eastAsia="fr-FR"/>
              </w:rPr>
              <w:t xml:space="preserve">Le logiciel de gestion de projet MSPROJECT est acquis </w:t>
            </w:r>
          </w:p>
        </w:tc>
        <w:tc>
          <w:tcPr>
            <w:tcW w:w="911"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812859" w14:textId="2F74DA91"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B2456">
              <w:rPr>
                <w:rFonts w:ascii="Times New Roman" w:eastAsia="Times New Roman" w:hAnsi="Times New Roman" w:cs="Times New Roman"/>
                <w:color w:val="000000"/>
                <w:lang w:eastAsia="fr-FR"/>
              </w:rPr>
              <w:t>La Formation à l’utilisation du logiciel MSPROJECT sera faite pour l’équipe de direction</w:t>
            </w:r>
          </w:p>
        </w:tc>
        <w:tc>
          <w:tcPr>
            <w:tcW w:w="55" w:type="pct"/>
            <w:vAlign w:val="center"/>
            <w:hideMark/>
          </w:tcPr>
          <w:p w14:paraId="3DF5C8BC"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30E0C2E7" w14:textId="77777777" w:rsidTr="0082033E">
        <w:trPr>
          <w:trHeight w:val="310"/>
        </w:trPr>
        <w:tc>
          <w:tcPr>
            <w:tcW w:w="4945" w:type="pct"/>
            <w:gridSpan w:val="5"/>
            <w:tcBorders>
              <w:top w:val="single" w:sz="4" w:space="0" w:color="auto"/>
              <w:left w:val="nil"/>
              <w:bottom w:val="single" w:sz="4" w:space="0" w:color="auto"/>
              <w:right w:val="nil"/>
            </w:tcBorders>
            <w:shd w:val="clear" w:color="000000" w:fill="D0CECE"/>
            <w:noWrap/>
            <w:vAlign w:val="center"/>
            <w:hideMark/>
          </w:tcPr>
          <w:p w14:paraId="5FCA858D" w14:textId="77777777" w:rsidR="00B00643" w:rsidRPr="00687642" w:rsidRDefault="00B00643" w:rsidP="008D7A30">
            <w:pPr>
              <w:rPr>
                <w:rFonts w:ascii="Times New Roman" w:eastAsia="Times New Roman" w:hAnsi="Times New Roman" w:cs="Times New Roman"/>
                <w:b/>
                <w:bCs/>
                <w:i/>
                <w:iCs/>
                <w:color w:val="000000"/>
                <w:lang w:eastAsia="fr-FR"/>
              </w:rPr>
            </w:pPr>
          </w:p>
          <w:p w14:paraId="77726DB4"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4b: Fonctionnement</w:t>
            </w:r>
          </w:p>
          <w:p w14:paraId="7BE7796A"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lastRenderedPageBreak/>
              <w:t> </w:t>
            </w:r>
          </w:p>
        </w:tc>
        <w:tc>
          <w:tcPr>
            <w:tcW w:w="55" w:type="pct"/>
            <w:vAlign w:val="center"/>
            <w:hideMark/>
          </w:tcPr>
          <w:p w14:paraId="7A29CE6A"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1CAFBE8" w14:textId="77777777" w:rsidTr="0082033E">
        <w:trPr>
          <w:trHeight w:val="787"/>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1DE47" w14:textId="696948CA"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w:t>
            </w:r>
            <w:r w:rsidR="00EB2456">
              <w:rPr>
                <w:rFonts w:ascii="Times New Roman" w:eastAsia="Times New Roman" w:hAnsi="Times New Roman" w:cs="Times New Roman"/>
                <w:color w:val="000000"/>
                <w:lang w:eastAsia="fr-FR"/>
              </w:rPr>
              <w:t>Cérémonie</w:t>
            </w:r>
            <w:r w:rsidRPr="00687642">
              <w:rPr>
                <w:rFonts w:ascii="Times New Roman" w:eastAsia="Times New Roman" w:hAnsi="Times New Roman" w:cs="Times New Roman"/>
                <w:color w:val="000000"/>
                <w:lang w:eastAsia="fr-FR"/>
              </w:rPr>
              <w:t xml:space="preserve"> pour le lancement des activités du centre</w:t>
            </w:r>
          </w:p>
        </w:tc>
        <w:tc>
          <w:tcPr>
            <w:tcW w:w="656" w:type="pct"/>
            <w:tcBorders>
              <w:top w:val="nil"/>
              <w:left w:val="nil"/>
              <w:bottom w:val="single" w:sz="4" w:space="0" w:color="auto"/>
              <w:right w:val="single" w:sz="4" w:space="0" w:color="auto"/>
            </w:tcBorders>
            <w:shd w:val="clear" w:color="auto" w:fill="auto"/>
            <w:noWrap/>
            <w:vAlign w:val="center"/>
            <w:hideMark/>
          </w:tcPr>
          <w:p w14:paraId="11D912C7" w14:textId="0787CD89"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B2456">
              <w:rPr>
                <w:rFonts w:ascii="Times New Roman" w:eastAsia="Times New Roman" w:hAnsi="Times New Roman" w:cs="Times New Roman"/>
                <w:color w:val="000000"/>
                <w:lang w:eastAsia="fr-FR"/>
              </w:rPr>
              <w:t>Aléas de COVID19</w:t>
            </w:r>
          </w:p>
        </w:tc>
        <w:tc>
          <w:tcPr>
            <w:tcW w:w="959" w:type="pct"/>
            <w:tcBorders>
              <w:top w:val="nil"/>
              <w:left w:val="nil"/>
              <w:bottom w:val="single" w:sz="4" w:space="0" w:color="auto"/>
              <w:right w:val="single" w:sz="4" w:space="0" w:color="auto"/>
            </w:tcBorders>
            <w:shd w:val="clear" w:color="auto" w:fill="auto"/>
            <w:noWrap/>
            <w:vAlign w:val="center"/>
            <w:hideMark/>
          </w:tcPr>
          <w:p w14:paraId="4FB20C9F"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96" w:type="pct"/>
            <w:tcBorders>
              <w:top w:val="nil"/>
              <w:left w:val="nil"/>
              <w:bottom w:val="single" w:sz="4" w:space="0" w:color="auto"/>
              <w:right w:val="single" w:sz="4" w:space="0" w:color="auto"/>
            </w:tcBorders>
            <w:shd w:val="clear" w:color="auto" w:fill="auto"/>
            <w:noWrap/>
            <w:vAlign w:val="center"/>
            <w:hideMark/>
          </w:tcPr>
          <w:p w14:paraId="7C9B0FA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63B5002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31D34A02"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47F04C14" w14:textId="77777777" w:rsidTr="0082033E">
        <w:trPr>
          <w:trHeight w:val="619"/>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EAA3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2: Voyages liés à la Gouvernance</w:t>
            </w:r>
          </w:p>
        </w:tc>
        <w:tc>
          <w:tcPr>
            <w:tcW w:w="656" w:type="pct"/>
            <w:tcBorders>
              <w:top w:val="nil"/>
              <w:left w:val="nil"/>
              <w:bottom w:val="single" w:sz="4" w:space="0" w:color="auto"/>
              <w:right w:val="single" w:sz="4" w:space="0" w:color="auto"/>
            </w:tcBorders>
            <w:shd w:val="clear" w:color="auto" w:fill="auto"/>
            <w:vAlign w:val="center"/>
            <w:hideMark/>
          </w:tcPr>
          <w:p w14:paraId="20446C34" w14:textId="00F6C0A0"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B2456">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vAlign w:val="center"/>
            <w:hideMark/>
          </w:tcPr>
          <w:p w14:paraId="7BF7BC29" w14:textId="0CD1539B"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1420F1">
              <w:rPr>
                <w:rFonts w:ascii="Times New Roman" w:eastAsia="Times New Roman" w:hAnsi="Times New Roman" w:cs="Times New Roman"/>
                <w:color w:val="000000"/>
                <w:lang w:eastAsia="fr-FR"/>
              </w:rPr>
              <w:t>Des missions ont permis de participes aux réunions annuelles et à des conférences</w:t>
            </w:r>
          </w:p>
        </w:tc>
        <w:tc>
          <w:tcPr>
            <w:tcW w:w="1296" w:type="pct"/>
            <w:tcBorders>
              <w:top w:val="nil"/>
              <w:left w:val="nil"/>
              <w:bottom w:val="single" w:sz="4" w:space="0" w:color="auto"/>
              <w:right w:val="single" w:sz="4" w:space="0" w:color="auto"/>
            </w:tcBorders>
            <w:shd w:val="clear" w:color="auto" w:fill="auto"/>
            <w:vAlign w:val="center"/>
            <w:hideMark/>
          </w:tcPr>
          <w:p w14:paraId="69FA76B7" w14:textId="0B9F5BFB" w:rsidR="00B00643" w:rsidRPr="00687642" w:rsidRDefault="001420F1"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Des missions de benchmarking sont envisagées avant la fin 2022, auprès des </w:t>
            </w:r>
            <w:proofErr w:type="spellStart"/>
            <w:r>
              <w:rPr>
                <w:rFonts w:ascii="Times New Roman" w:eastAsia="Times New Roman" w:hAnsi="Times New Roman" w:cs="Times New Roman"/>
                <w:color w:val="000000"/>
                <w:lang w:eastAsia="fr-FR"/>
              </w:rPr>
              <w:t>CEAs</w:t>
            </w:r>
            <w:proofErr w:type="spellEnd"/>
            <w:r>
              <w:rPr>
                <w:rFonts w:ascii="Times New Roman" w:eastAsia="Times New Roman" w:hAnsi="Times New Roman" w:cs="Times New Roman"/>
                <w:color w:val="000000"/>
                <w:lang w:eastAsia="fr-FR"/>
              </w:rPr>
              <w:t xml:space="preserve"> du réseau Food4Africa</w:t>
            </w:r>
          </w:p>
        </w:tc>
        <w:tc>
          <w:tcPr>
            <w:tcW w:w="911" w:type="pct"/>
            <w:tcBorders>
              <w:top w:val="nil"/>
              <w:left w:val="nil"/>
              <w:bottom w:val="single" w:sz="4" w:space="0" w:color="auto"/>
              <w:right w:val="single" w:sz="4" w:space="0" w:color="auto"/>
            </w:tcBorders>
            <w:shd w:val="clear" w:color="auto" w:fill="auto"/>
            <w:vAlign w:val="center"/>
            <w:hideMark/>
          </w:tcPr>
          <w:p w14:paraId="48A9343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1E44940C"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57511593" w14:textId="77777777" w:rsidTr="0082033E">
        <w:trPr>
          <w:trHeight w:val="619"/>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36C30" w14:textId="65F1002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3: Frais de fonctionnement véhicules(entret</w:t>
            </w:r>
            <w:r w:rsidR="00992C0E">
              <w:rPr>
                <w:rFonts w:ascii="Times New Roman" w:eastAsia="Times New Roman" w:hAnsi="Times New Roman" w:cs="Times New Roman"/>
                <w:color w:val="000000"/>
                <w:lang w:eastAsia="fr-FR"/>
              </w:rPr>
              <w:t>i</w:t>
            </w:r>
            <w:r w:rsidRPr="00687642">
              <w:rPr>
                <w:rFonts w:ascii="Times New Roman" w:eastAsia="Times New Roman" w:hAnsi="Times New Roman" w:cs="Times New Roman"/>
                <w:color w:val="000000"/>
                <w:lang w:eastAsia="fr-FR"/>
              </w:rPr>
              <w:t xml:space="preserve">en, assurance, carburant,…) </w:t>
            </w:r>
          </w:p>
        </w:tc>
        <w:tc>
          <w:tcPr>
            <w:tcW w:w="656" w:type="pct"/>
            <w:tcBorders>
              <w:top w:val="nil"/>
              <w:left w:val="nil"/>
              <w:bottom w:val="single" w:sz="4" w:space="0" w:color="auto"/>
              <w:right w:val="single" w:sz="4" w:space="0" w:color="auto"/>
            </w:tcBorders>
            <w:shd w:val="clear" w:color="auto" w:fill="auto"/>
            <w:noWrap/>
            <w:vAlign w:val="center"/>
            <w:hideMark/>
          </w:tcPr>
          <w:p w14:paraId="607A4DDE" w14:textId="6A9DE89F"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8E37B2">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4F0A3515" w14:textId="7E667AA8" w:rsidR="00B00643" w:rsidRPr="00687642" w:rsidRDefault="00B00643" w:rsidP="008D7A30">
            <w:pPr>
              <w:rPr>
                <w:rFonts w:ascii="Times New Roman" w:eastAsia="Times New Roman" w:hAnsi="Times New Roman" w:cs="Times New Roman"/>
                <w:color w:val="000000"/>
                <w:lang w:eastAsia="fr-FR"/>
              </w:rPr>
            </w:pPr>
          </w:p>
        </w:tc>
        <w:tc>
          <w:tcPr>
            <w:tcW w:w="1296" w:type="pct"/>
            <w:tcBorders>
              <w:top w:val="nil"/>
              <w:left w:val="nil"/>
              <w:bottom w:val="single" w:sz="4" w:space="0" w:color="auto"/>
              <w:right w:val="single" w:sz="4" w:space="0" w:color="auto"/>
            </w:tcBorders>
            <w:shd w:val="clear" w:color="auto" w:fill="auto"/>
            <w:noWrap/>
            <w:vAlign w:val="center"/>
            <w:hideMark/>
          </w:tcPr>
          <w:p w14:paraId="55A354FF"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7600A9D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12801923"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420F94A9" w14:textId="77777777" w:rsidTr="0082033E">
        <w:trPr>
          <w:trHeight w:val="619"/>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59BA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4: Communication</w:t>
            </w:r>
          </w:p>
        </w:tc>
        <w:tc>
          <w:tcPr>
            <w:tcW w:w="656" w:type="pct"/>
            <w:tcBorders>
              <w:top w:val="nil"/>
              <w:left w:val="nil"/>
              <w:bottom w:val="single" w:sz="4" w:space="0" w:color="auto"/>
              <w:right w:val="single" w:sz="4" w:space="0" w:color="auto"/>
            </w:tcBorders>
            <w:shd w:val="clear" w:color="auto" w:fill="auto"/>
            <w:vAlign w:val="center"/>
            <w:hideMark/>
          </w:tcPr>
          <w:p w14:paraId="3E20CA5B" w14:textId="012A2CF8"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vAlign w:val="center"/>
            <w:hideMark/>
          </w:tcPr>
          <w:p w14:paraId="10BFE9AF" w14:textId="77777777" w:rsidR="00B00643"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8E37B2">
              <w:rPr>
                <w:rFonts w:ascii="Times New Roman" w:eastAsia="Times New Roman" w:hAnsi="Times New Roman" w:cs="Times New Roman"/>
                <w:color w:val="000000"/>
                <w:lang w:eastAsia="fr-FR"/>
              </w:rPr>
              <w:t xml:space="preserve">Le site web existe </w:t>
            </w:r>
          </w:p>
          <w:p w14:paraId="0AFFCE7E" w14:textId="2E5FD75E" w:rsidR="007D64E1" w:rsidRPr="00687642" w:rsidRDefault="007D64E1" w:rsidP="008D7A30">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Nous travaillons avec la Direction de la communication de l’UCAD</w:t>
            </w:r>
          </w:p>
        </w:tc>
        <w:tc>
          <w:tcPr>
            <w:tcW w:w="1296" w:type="pct"/>
            <w:tcBorders>
              <w:top w:val="nil"/>
              <w:left w:val="nil"/>
              <w:bottom w:val="single" w:sz="4" w:space="0" w:color="auto"/>
              <w:right w:val="single" w:sz="4" w:space="0" w:color="auto"/>
            </w:tcBorders>
            <w:shd w:val="clear" w:color="auto" w:fill="auto"/>
            <w:vAlign w:val="center"/>
            <w:hideMark/>
          </w:tcPr>
          <w:p w14:paraId="12A16B8D" w14:textId="1FE24622"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8E37B2">
              <w:rPr>
                <w:rFonts w:ascii="Times New Roman" w:eastAsia="Times New Roman" w:hAnsi="Times New Roman" w:cs="Times New Roman"/>
                <w:color w:val="000000"/>
                <w:lang w:eastAsia="fr-FR"/>
              </w:rPr>
              <w:t xml:space="preserve">Recruter un </w:t>
            </w:r>
            <w:r w:rsidR="00907239">
              <w:rPr>
                <w:rFonts w:ascii="Times New Roman" w:eastAsia="Times New Roman" w:hAnsi="Times New Roman" w:cs="Times New Roman"/>
                <w:color w:val="000000"/>
                <w:lang w:eastAsia="fr-FR"/>
              </w:rPr>
              <w:t>prestataire</w:t>
            </w:r>
            <w:r w:rsidR="008E37B2">
              <w:rPr>
                <w:rFonts w:ascii="Times New Roman" w:eastAsia="Times New Roman" w:hAnsi="Times New Roman" w:cs="Times New Roman"/>
                <w:color w:val="000000"/>
                <w:lang w:eastAsia="fr-FR"/>
              </w:rPr>
              <w:t xml:space="preserve"> comme webmaster</w:t>
            </w:r>
          </w:p>
        </w:tc>
        <w:tc>
          <w:tcPr>
            <w:tcW w:w="911" w:type="pct"/>
            <w:tcBorders>
              <w:top w:val="nil"/>
              <w:left w:val="nil"/>
              <w:bottom w:val="single" w:sz="4" w:space="0" w:color="auto"/>
              <w:right w:val="single" w:sz="4" w:space="0" w:color="auto"/>
            </w:tcBorders>
            <w:shd w:val="clear" w:color="auto" w:fill="auto"/>
            <w:vAlign w:val="center"/>
            <w:hideMark/>
          </w:tcPr>
          <w:p w14:paraId="55A7C767"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2099A9B0"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55016B0D"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6FB6C"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5: Fourniture et consommable </w:t>
            </w:r>
          </w:p>
        </w:tc>
        <w:tc>
          <w:tcPr>
            <w:tcW w:w="656" w:type="pct"/>
            <w:tcBorders>
              <w:top w:val="nil"/>
              <w:left w:val="nil"/>
              <w:bottom w:val="single" w:sz="4" w:space="0" w:color="auto"/>
              <w:right w:val="single" w:sz="4" w:space="0" w:color="auto"/>
            </w:tcBorders>
            <w:shd w:val="clear" w:color="auto" w:fill="auto"/>
            <w:noWrap/>
            <w:vAlign w:val="center"/>
            <w:hideMark/>
          </w:tcPr>
          <w:p w14:paraId="6EA84AE1" w14:textId="3DD6038B"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992C0E">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494D8243" w14:textId="1E5F4AC2"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L’unité de gouvernance est doté de fourniture</w:t>
            </w:r>
          </w:p>
        </w:tc>
        <w:tc>
          <w:tcPr>
            <w:tcW w:w="1296" w:type="pct"/>
            <w:tcBorders>
              <w:top w:val="nil"/>
              <w:left w:val="nil"/>
              <w:bottom w:val="single" w:sz="4" w:space="0" w:color="auto"/>
              <w:right w:val="single" w:sz="4" w:space="0" w:color="auto"/>
            </w:tcBorders>
            <w:shd w:val="clear" w:color="auto" w:fill="auto"/>
            <w:noWrap/>
            <w:vAlign w:val="center"/>
            <w:hideMark/>
          </w:tcPr>
          <w:p w14:paraId="3D8B2D2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1F50828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6EABEF1F"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5C8BECE"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4B60E" w14:textId="251405C5" w:rsidR="00B00643" w:rsidRPr="00687642" w:rsidRDefault="00B00643" w:rsidP="008D7A30">
            <w:pPr>
              <w:rPr>
                <w:rFonts w:ascii="Times New Roman" w:eastAsia="Times New Roman" w:hAnsi="Times New Roman" w:cs="Times New Roman"/>
                <w:color w:val="4472C4"/>
                <w:lang w:eastAsia="fr-FR"/>
              </w:rPr>
            </w:pPr>
            <w:r w:rsidRPr="00EB2456">
              <w:rPr>
                <w:rFonts w:ascii="Times New Roman" w:eastAsia="Times New Roman" w:hAnsi="Times New Roman" w:cs="Times New Roman"/>
                <w:color w:val="000000" w:themeColor="text1"/>
                <w:lang w:eastAsia="fr-FR"/>
              </w:rPr>
              <w:t xml:space="preserve">Activité 6: </w:t>
            </w:r>
            <w:r w:rsidR="00907239" w:rsidRPr="00EB2456">
              <w:rPr>
                <w:rFonts w:ascii="Times New Roman" w:eastAsia="Times New Roman" w:hAnsi="Times New Roman" w:cs="Times New Roman"/>
                <w:color w:val="000000" w:themeColor="text1"/>
                <w:lang w:eastAsia="fr-FR"/>
              </w:rPr>
              <w:t xml:space="preserve">Nettoyage et </w:t>
            </w:r>
            <w:r w:rsidRPr="00EB2456">
              <w:rPr>
                <w:rFonts w:ascii="Times New Roman" w:eastAsia="Times New Roman" w:hAnsi="Times New Roman" w:cs="Times New Roman"/>
                <w:color w:val="000000" w:themeColor="text1"/>
                <w:lang w:eastAsia="fr-FR"/>
              </w:rPr>
              <w:t xml:space="preserve">Entretien matériel et mobiliers </w:t>
            </w:r>
          </w:p>
        </w:tc>
        <w:tc>
          <w:tcPr>
            <w:tcW w:w="656" w:type="pct"/>
            <w:tcBorders>
              <w:top w:val="nil"/>
              <w:left w:val="nil"/>
              <w:bottom w:val="single" w:sz="4" w:space="0" w:color="auto"/>
              <w:right w:val="single" w:sz="4" w:space="0" w:color="auto"/>
            </w:tcBorders>
            <w:shd w:val="clear" w:color="auto" w:fill="auto"/>
            <w:noWrap/>
            <w:vAlign w:val="center"/>
            <w:hideMark/>
          </w:tcPr>
          <w:p w14:paraId="4278F2E1" w14:textId="5652B48D"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992C0E">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350A79A1"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96" w:type="pct"/>
            <w:tcBorders>
              <w:top w:val="nil"/>
              <w:left w:val="nil"/>
              <w:bottom w:val="single" w:sz="4" w:space="0" w:color="auto"/>
              <w:right w:val="single" w:sz="4" w:space="0" w:color="auto"/>
            </w:tcBorders>
            <w:shd w:val="clear" w:color="auto" w:fill="auto"/>
            <w:noWrap/>
            <w:vAlign w:val="center"/>
            <w:hideMark/>
          </w:tcPr>
          <w:p w14:paraId="6DE8F1CC" w14:textId="5A1374B2"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Un prestataire est déjà recruté</w:t>
            </w:r>
          </w:p>
        </w:tc>
        <w:tc>
          <w:tcPr>
            <w:tcW w:w="911" w:type="pct"/>
            <w:tcBorders>
              <w:top w:val="nil"/>
              <w:left w:val="nil"/>
              <w:bottom w:val="single" w:sz="4" w:space="0" w:color="auto"/>
              <w:right w:val="single" w:sz="4" w:space="0" w:color="auto"/>
            </w:tcBorders>
            <w:shd w:val="clear" w:color="auto" w:fill="auto"/>
            <w:noWrap/>
            <w:vAlign w:val="center"/>
            <w:hideMark/>
          </w:tcPr>
          <w:p w14:paraId="1C9116EC"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0529204C"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58358F4A"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CAB58"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7: Frais de télécommunication </w:t>
            </w:r>
          </w:p>
        </w:tc>
        <w:tc>
          <w:tcPr>
            <w:tcW w:w="656" w:type="pct"/>
            <w:tcBorders>
              <w:top w:val="nil"/>
              <w:left w:val="nil"/>
              <w:bottom w:val="single" w:sz="4" w:space="0" w:color="auto"/>
              <w:right w:val="single" w:sz="4" w:space="0" w:color="auto"/>
            </w:tcBorders>
            <w:shd w:val="clear" w:color="auto" w:fill="auto"/>
            <w:noWrap/>
            <w:vAlign w:val="center"/>
            <w:hideMark/>
          </w:tcPr>
          <w:p w14:paraId="055625E4" w14:textId="794B4ACB"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54F843EA" w14:textId="6C1F03C9"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Ces frais sont pris en charge</w:t>
            </w:r>
          </w:p>
        </w:tc>
        <w:tc>
          <w:tcPr>
            <w:tcW w:w="1296" w:type="pct"/>
            <w:tcBorders>
              <w:top w:val="nil"/>
              <w:left w:val="nil"/>
              <w:bottom w:val="single" w:sz="4" w:space="0" w:color="auto"/>
              <w:right w:val="single" w:sz="4" w:space="0" w:color="auto"/>
            </w:tcBorders>
            <w:shd w:val="clear" w:color="auto" w:fill="auto"/>
            <w:noWrap/>
            <w:vAlign w:val="center"/>
            <w:hideMark/>
          </w:tcPr>
          <w:p w14:paraId="535248A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16BA87BD"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0CF6194E"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44FFAB24" w14:textId="77777777" w:rsidTr="0082033E">
        <w:trPr>
          <w:trHeight w:val="310"/>
        </w:trPr>
        <w:tc>
          <w:tcPr>
            <w:tcW w:w="1124" w:type="pct"/>
            <w:tcBorders>
              <w:top w:val="nil"/>
              <w:left w:val="nil"/>
              <w:bottom w:val="single" w:sz="4" w:space="0" w:color="auto"/>
              <w:right w:val="nil"/>
            </w:tcBorders>
            <w:shd w:val="clear" w:color="000000" w:fill="D0CECE"/>
            <w:noWrap/>
            <w:vAlign w:val="center"/>
            <w:hideMark/>
          </w:tcPr>
          <w:p w14:paraId="19C6EE70"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Sous-Action 4c: Investissements/ DLI4.3</w:t>
            </w:r>
          </w:p>
        </w:tc>
        <w:tc>
          <w:tcPr>
            <w:tcW w:w="656" w:type="pct"/>
            <w:tcBorders>
              <w:top w:val="nil"/>
              <w:left w:val="nil"/>
              <w:bottom w:val="single" w:sz="4" w:space="0" w:color="auto"/>
              <w:right w:val="nil"/>
            </w:tcBorders>
            <w:shd w:val="clear" w:color="000000" w:fill="D0CECE"/>
            <w:noWrap/>
            <w:vAlign w:val="center"/>
            <w:hideMark/>
          </w:tcPr>
          <w:p w14:paraId="7FB60F62"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959" w:type="pct"/>
            <w:tcBorders>
              <w:top w:val="nil"/>
              <w:left w:val="nil"/>
              <w:bottom w:val="single" w:sz="4" w:space="0" w:color="auto"/>
              <w:right w:val="nil"/>
            </w:tcBorders>
            <w:shd w:val="clear" w:color="000000" w:fill="D0CECE"/>
            <w:noWrap/>
            <w:vAlign w:val="center"/>
            <w:hideMark/>
          </w:tcPr>
          <w:p w14:paraId="0679147F"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1296" w:type="pct"/>
            <w:tcBorders>
              <w:top w:val="nil"/>
              <w:left w:val="nil"/>
              <w:bottom w:val="single" w:sz="4" w:space="0" w:color="auto"/>
              <w:right w:val="nil"/>
            </w:tcBorders>
            <w:shd w:val="clear" w:color="000000" w:fill="D0CECE"/>
            <w:noWrap/>
            <w:vAlign w:val="center"/>
            <w:hideMark/>
          </w:tcPr>
          <w:p w14:paraId="6E140335"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911" w:type="pct"/>
            <w:tcBorders>
              <w:top w:val="nil"/>
              <w:left w:val="nil"/>
              <w:bottom w:val="single" w:sz="4" w:space="0" w:color="auto"/>
              <w:right w:val="nil"/>
            </w:tcBorders>
            <w:shd w:val="clear" w:color="000000" w:fill="D0CECE"/>
            <w:noWrap/>
            <w:vAlign w:val="center"/>
            <w:hideMark/>
          </w:tcPr>
          <w:p w14:paraId="10CBF581"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7B96030B"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7F352594" w14:textId="77777777" w:rsidTr="0082033E">
        <w:trPr>
          <w:trHeight w:val="619"/>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55E85"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Matériel et Mobilier de bureau unité de coordination </w:t>
            </w:r>
          </w:p>
        </w:tc>
        <w:tc>
          <w:tcPr>
            <w:tcW w:w="656" w:type="pct"/>
            <w:tcBorders>
              <w:top w:val="nil"/>
              <w:left w:val="nil"/>
              <w:bottom w:val="single" w:sz="4" w:space="0" w:color="auto"/>
              <w:right w:val="single" w:sz="4" w:space="0" w:color="auto"/>
            </w:tcBorders>
            <w:shd w:val="clear" w:color="auto" w:fill="auto"/>
            <w:noWrap/>
            <w:vAlign w:val="center"/>
            <w:hideMark/>
          </w:tcPr>
          <w:p w14:paraId="2917D103" w14:textId="62BFB28D"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11BA1884" w14:textId="31332E88"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L’unité de coordination est bien dotée en mobilier</w:t>
            </w:r>
          </w:p>
        </w:tc>
        <w:tc>
          <w:tcPr>
            <w:tcW w:w="1296" w:type="pct"/>
            <w:tcBorders>
              <w:top w:val="nil"/>
              <w:left w:val="nil"/>
              <w:bottom w:val="single" w:sz="4" w:space="0" w:color="auto"/>
              <w:right w:val="single" w:sz="4" w:space="0" w:color="auto"/>
            </w:tcBorders>
            <w:shd w:val="clear" w:color="auto" w:fill="auto"/>
            <w:noWrap/>
            <w:vAlign w:val="center"/>
            <w:hideMark/>
          </w:tcPr>
          <w:p w14:paraId="2B4B2AD0"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7DB64380"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544892D0"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3677B0FB"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F8DCF"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2: Matériels informatiques unité de coordination </w:t>
            </w:r>
          </w:p>
        </w:tc>
        <w:tc>
          <w:tcPr>
            <w:tcW w:w="656" w:type="pct"/>
            <w:tcBorders>
              <w:top w:val="nil"/>
              <w:left w:val="nil"/>
              <w:bottom w:val="single" w:sz="4" w:space="0" w:color="auto"/>
              <w:right w:val="single" w:sz="4" w:space="0" w:color="auto"/>
            </w:tcBorders>
            <w:shd w:val="clear" w:color="auto" w:fill="auto"/>
            <w:noWrap/>
            <w:vAlign w:val="center"/>
            <w:hideMark/>
          </w:tcPr>
          <w:p w14:paraId="65201F87" w14:textId="117D4324"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EB2456">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1C667C60" w14:textId="59B14D7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D64E1">
              <w:rPr>
                <w:rFonts w:ascii="Times New Roman" w:eastAsia="Times New Roman" w:hAnsi="Times New Roman" w:cs="Times New Roman"/>
                <w:color w:val="000000"/>
                <w:lang w:eastAsia="fr-FR"/>
              </w:rPr>
              <w:t>L’unité de coordination est dotée en mobilier</w:t>
            </w:r>
            <w:r w:rsidR="00EB2456">
              <w:rPr>
                <w:rFonts w:ascii="Times New Roman" w:eastAsia="Times New Roman" w:hAnsi="Times New Roman" w:cs="Times New Roman"/>
                <w:color w:val="000000"/>
                <w:lang w:eastAsia="fr-FR"/>
              </w:rPr>
              <w:t>, Le pool informatique sera renforcé au niveau de l’Unité de coordination</w:t>
            </w:r>
          </w:p>
        </w:tc>
        <w:tc>
          <w:tcPr>
            <w:tcW w:w="1296" w:type="pct"/>
            <w:tcBorders>
              <w:top w:val="nil"/>
              <w:left w:val="nil"/>
              <w:bottom w:val="single" w:sz="4" w:space="0" w:color="auto"/>
              <w:right w:val="single" w:sz="4" w:space="0" w:color="auto"/>
            </w:tcBorders>
            <w:shd w:val="clear" w:color="auto" w:fill="auto"/>
            <w:noWrap/>
            <w:vAlign w:val="center"/>
            <w:hideMark/>
          </w:tcPr>
          <w:p w14:paraId="22BE2BCB" w14:textId="01F581B6"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74A2D812" w14:textId="178977E4" w:rsidR="00B00643" w:rsidRPr="00687642" w:rsidRDefault="00B00643" w:rsidP="008D7A30">
            <w:pPr>
              <w:rPr>
                <w:rFonts w:ascii="Times New Roman" w:eastAsia="Times New Roman" w:hAnsi="Times New Roman" w:cs="Times New Roman"/>
                <w:color w:val="000000"/>
                <w:lang w:eastAsia="fr-FR"/>
              </w:rPr>
            </w:pPr>
          </w:p>
        </w:tc>
        <w:tc>
          <w:tcPr>
            <w:tcW w:w="55" w:type="pct"/>
            <w:vAlign w:val="center"/>
            <w:hideMark/>
          </w:tcPr>
          <w:p w14:paraId="264815C3"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7BA2D599"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7E81811"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lastRenderedPageBreak/>
              <w:t>Sous-Action 4d: Procédures/Audit/</w:t>
            </w:r>
            <w:proofErr w:type="spellStart"/>
            <w:r w:rsidRPr="00687642">
              <w:rPr>
                <w:rFonts w:ascii="Times New Roman" w:eastAsia="Times New Roman" w:hAnsi="Times New Roman" w:cs="Times New Roman"/>
                <w:b/>
                <w:bCs/>
                <w:i/>
                <w:iCs/>
                <w:color w:val="000000"/>
                <w:lang w:eastAsia="fr-FR"/>
              </w:rPr>
              <w:t>Evaluations</w:t>
            </w:r>
            <w:proofErr w:type="spellEnd"/>
          </w:p>
        </w:tc>
        <w:tc>
          <w:tcPr>
            <w:tcW w:w="656" w:type="pct"/>
            <w:tcBorders>
              <w:top w:val="nil"/>
              <w:left w:val="single" w:sz="4" w:space="0" w:color="auto"/>
              <w:bottom w:val="single" w:sz="4" w:space="0" w:color="auto"/>
              <w:right w:val="nil"/>
            </w:tcBorders>
            <w:shd w:val="clear" w:color="000000" w:fill="D0CECE"/>
            <w:noWrap/>
            <w:vAlign w:val="center"/>
            <w:hideMark/>
          </w:tcPr>
          <w:p w14:paraId="0DEFFFAC"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959" w:type="pct"/>
            <w:tcBorders>
              <w:top w:val="nil"/>
              <w:left w:val="nil"/>
              <w:bottom w:val="single" w:sz="4" w:space="0" w:color="auto"/>
              <w:right w:val="nil"/>
            </w:tcBorders>
            <w:shd w:val="clear" w:color="000000" w:fill="D0CECE"/>
            <w:noWrap/>
            <w:vAlign w:val="center"/>
            <w:hideMark/>
          </w:tcPr>
          <w:p w14:paraId="4B302580"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1296" w:type="pct"/>
            <w:tcBorders>
              <w:top w:val="nil"/>
              <w:left w:val="nil"/>
              <w:bottom w:val="single" w:sz="4" w:space="0" w:color="auto"/>
              <w:right w:val="nil"/>
            </w:tcBorders>
            <w:shd w:val="clear" w:color="000000" w:fill="D0CECE"/>
            <w:noWrap/>
            <w:vAlign w:val="center"/>
            <w:hideMark/>
          </w:tcPr>
          <w:p w14:paraId="111B8C4D"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911" w:type="pct"/>
            <w:tcBorders>
              <w:top w:val="nil"/>
              <w:left w:val="nil"/>
              <w:bottom w:val="single" w:sz="4" w:space="0" w:color="auto"/>
              <w:right w:val="nil"/>
            </w:tcBorders>
            <w:shd w:val="clear" w:color="000000" w:fill="D0CECE"/>
            <w:noWrap/>
            <w:vAlign w:val="center"/>
            <w:hideMark/>
          </w:tcPr>
          <w:p w14:paraId="68E20F8E" w14:textId="77777777" w:rsidR="00B00643" w:rsidRPr="00687642" w:rsidRDefault="00B00643" w:rsidP="008D7A30">
            <w:pPr>
              <w:rPr>
                <w:rFonts w:ascii="Times New Roman" w:eastAsia="Times New Roman" w:hAnsi="Times New Roman" w:cs="Times New Roman"/>
                <w:b/>
                <w:bCs/>
                <w:i/>
                <w:iCs/>
                <w:color w:val="000000"/>
                <w:lang w:eastAsia="fr-FR"/>
              </w:rPr>
            </w:pPr>
            <w:r w:rsidRPr="00687642">
              <w:rPr>
                <w:rFonts w:ascii="Times New Roman" w:eastAsia="Times New Roman" w:hAnsi="Times New Roman" w:cs="Times New Roman"/>
                <w:b/>
                <w:bCs/>
                <w:i/>
                <w:iCs/>
                <w:color w:val="000000"/>
                <w:lang w:eastAsia="fr-FR"/>
              </w:rPr>
              <w:t> </w:t>
            </w:r>
          </w:p>
        </w:tc>
        <w:tc>
          <w:tcPr>
            <w:tcW w:w="55" w:type="pct"/>
            <w:vAlign w:val="center"/>
            <w:hideMark/>
          </w:tcPr>
          <w:p w14:paraId="437BB385"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76153B7A" w14:textId="77777777" w:rsidTr="0082033E">
        <w:trPr>
          <w:trHeight w:val="1237"/>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93815" w14:textId="22F91E6A"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Activité 1: </w:t>
            </w:r>
            <w:r w:rsidR="00162B83">
              <w:rPr>
                <w:rFonts w:ascii="Times New Roman" w:eastAsia="Times New Roman" w:hAnsi="Times New Roman" w:cs="Times New Roman"/>
                <w:color w:val="000000"/>
                <w:lang w:eastAsia="fr-FR"/>
              </w:rPr>
              <w:t>A</w:t>
            </w:r>
            <w:r w:rsidRPr="00687642">
              <w:rPr>
                <w:rFonts w:ascii="Times New Roman" w:eastAsia="Times New Roman" w:hAnsi="Times New Roman" w:cs="Times New Roman"/>
                <w:color w:val="000000"/>
                <w:lang w:eastAsia="fr-FR"/>
              </w:rPr>
              <w:t>cquisition d</w:t>
            </w:r>
            <w:r w:rsidR="00162B83">
              <w:rPr>
                <w:rFonts w:ascii="Times New Roman" w:eastAsia="Times New Roman" w:hAnsi="Times New Roman" w:cs="Times New Roman"/>
                <w:color w:val="000000"/>
                <w:lang w:eastAsia="fr-FR"/>
              </w:rPr>
              <w:t>e</w:t>
            </w:r>
            <w:r w:rsidRPr="00687642">
              <w:rPr>
                <w:rFonts w:ascii="Times New Roman" w:eastAsia="Times New Roman" w:hAnsi="Times New Roman" w:cs="Times New Roman"/>
                <w:color w:val="000000"/>
                <w:lang w:eastAsia="fr-FR"/>
              </w:rPr>
              <w:t xml:space="preserve"> logiciel de gestion comptable(logiciel </w:t>
            </w:r>
            <w:proofErr w:type="spellStart"/>
            <w:r w:rsidRPr="00687642">
              <w:rPr>
                <w:rFonts w:ascii="Times New Roman" w:eastAsia="Times New Roman" w:hAnsi="Times New Roman" w:cs="Times New Roman"/>
                <w:color w:val="000000"/>
                <w:lang w:eastAsia="fr-FR"/>
              </w:rPr>
              <w:t>Tompro</w:t>
            </w:r>
            <w:proofErr w:type="spellEnd"/>
            <w:r w:rsidRPr="00687642">
              <w:rPr>
                <w:rFonts w:ascii="Times New Roman" w:eastAsia="Times New Roman" w:hAnsi="Times New Roman" w:cs="Times New Roman"/>
                <w:color w:val="000000"/>
                <w:lang w:eastAsia="fr-FR"/>
              </w:rPr>
              <w:t xml:space="preserve"> version web, Zoom, </w:t>
            </w:r>
            <w:proofErr w:type="spellStart"/>
            <w:r w:rsidRPr="00687642">
              <w:rPr>
                <w:rFonts w:ascii="Times New Roman" w:eastAsia="Times New Roman" w:hAnsi="Times New Roman" w:cs="Times New Roman"/>
                <w:color w:val="000000"/>
                <w:lang w:eastAsia="fr-FR"/>
              </w:rPr>
              <w:t>MsProject</w:t>
            </w:r>
            <w:proofErr w:type="spellEnd"/>
            <w:r w:rsidRPr="00687642">
              <w:rPr>
                <w:rFonts w:ascii="Times New Roman" w:eastAsia="Times New Roman" w:hAnsi="Times New Roman" w:cs="Times New Roman"/>
                <w:color w:val="000000"/>
                <w:lang w:eastAsia="fr-FR"/>
              </w:rPr>
              <w:t>,…)</w:t>
            </w:r>
          </w:p>
        </w:tc>
        <w:tc>
          <w:tcPr>
            <w:tcW w:w="656" w:type="pct"/>
            <w:tcBorders>
              <w:top w:val="nil"/>
              <w:left w:val="nil"/>
              <w:bottom w:val="single" w:sz="4" w:space="0" w:color="auto"/>
              <w:right w:val="single" w:sz="4" w:space="0" w:color="auto"/>
            </w:tcBorders>
            <w:shd w:val="clear" w:color="auto" w:fill="auto"/>
            <w:noWrap/>
            <w:vAlign w:val="center"/>
            <w:hideMark/>
          </w:tcPr>
          <w:p w14:paraId="7E194DE0" w14:textId="18221E7A"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162B83">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2BCD78D2" w14:textId="3D621010"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162B83">
              <w:rPr>
                <w:rFonts w:ascii="Times New Roman" w:eastAsia="Times New Roman" w:hAnsi="Times New Roman" w:cs="Times New Roman"/>
                <w:color w:val="000000"/>
                <w:lang w:eastAsia="fr-FR"/>
              </w:rPr>
              <w:t xml:space="preserve">Les </w:t>
            </w:r>
            <w:r w:rsidR="00162B83" w:rsidRPr="00687642">
              <w:rPr>
                <w:rFonts w:ascii="Times New Roman" w:eastAsia="Times New Roman" w:hAnsi="Times New Roman" w:cs="Times New Roman"/>
                <w:color w:val="000000"/>
                <w:lang w:eastAsia="fr-FR"/>
              </w:rPr>
              <w:t xml:space="preserve">logiciel (logiciel </w:t>
            </w:r>
            <w:proofErr w:type="spellStart"/>
            <w:r w:rsidR="00162B83" w:rsidRPr="00687642">
              <w:rPr>
                <w:rFonts w:ascii="Times New Roman" w:eastAsia="Times New Roman" w:hAnsi="Times New Roman" w:cs="Times New Roman"/>
                <w:color w:val="000000"/>
                <w:lang w:eastAsia="fr-FR"/>
              </w:rPr>
              <w:t>Tompro</w:t>
            </w:r>
            <w:proofErr w:type="spellEnd"/>
            <w:r w:rsidR="00162B83" w:rsidRPr="00687642">
              <w:rPr>
                <w:rFonts w:ascii="Times New Roman" w:eastAsia="Times New Roman" w:hAnsi="Times New Roman" w:cs="Times New Roman"/>
                <w:color w:val="000000"/>
                <w:lang w:eastAsia="fr-FR"/>
              </w:rPr>
              <w:t xml:space="preserve"> version web, Zoom, </w:t>
            </w:r>
            <w:proofErr w:type="spellStart"/>
            <w:r w:rsidR="00162B83" w:rsidRPr="00687642">
              <w:rPr>
                <w:rFonts w:ascii="Times New Roman" w:eastAsia="Times New Roman" w:hAnsi="Times New Roman" w:cs="Times New Roman"/>
                <w:color w:val="000000"/>
                <w:lang w:eastAsia="fr-FR"/>
              </w:rPr>
              <w:t>MsProject</w:t>
            </w:r>
            <w:proofErr w:type="spellEnd"/>
            <w:r w:rsidR="00162B83" w:rsidRPr="00687642">
              <w:rPr>
                <w:rFonts w:ascii="Times New Roman" w:eastAsia="Times New Roman" w:hAnsi="Times New Roman" w:cs="Times New Roman"/>
                <w:color w:val="000000"/>
                <w:lang w:eastAsia="fr-FR"/>
              </w:rPr>
              <w:t>,…)</w:t>
            </w:r>
            <w:r w:rsidR="00162B83">
              <w:rPr>
                <w:rFonts w:ascii="Times New Roman" w:eastAsia="Times New Roman" w:hAnsi="Times New Roman" w:cs="Times New Roman"/>
                <w:color w:val="000000"/>
                <w:lang w:eastAsia="fr-FR"/>
              </w:rPr>
              <w:t xml:space="preserve"> ont été commandés  et livrés. </w:t>
            </w:r>
          </w:p>
        </w:tc>
        <w:tc>
          <w:tcPr>
            <w:tcW w:w="1296" w:type="pct"/>
            <w:tcBorders>
              <w:top w:val="nil"/>
              <w:left w:val="nil"/>
              <w:bottom w:val="single" w:sz="4" w:space="0" w:color="auto"/>
              <w:right w:val="single" w:sz="4" w:space="0" w:color="auto"/>
            </w:tcBorders>
            <w:shd w:val="clear" w:color="auto" w:fill="auto"/>
            <w:noWrap/>
            <w:vAlign w:val="center"/>
            <w:hideMark/>
          </w:tcPr>
          <w:p w14:paraId="04A0E03E" w14:textId="409B9C59"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162B83">
              <w:rPr>
                <w:rFonts w:ascii="Times New Roman" w:eastAsia="Times New Roman" w:hAnsi="Times New Roman" w:cs="Times New Roman"/>
                <w:color w:val="000000"/>
                <w:lang w:eastAsia="fr-FR"/>
              </w:rPr>
              <w:t xml:space="preserve">Le fournisseur est </w:t>
            </w:r>
            <w:r w:rsidR="00722C3A">
              <w:rPr>
                <w:rFonts w:ascii="Times New Roman" w:eastAsia="Times New Roman" w:hAnsi="Times New Roman" w:cs="Times New Roman"/>
                <w:color w:val="000000"/>
                <w:lang w:eastAsia="fr-FR"/>
              </w:rPr>
              <w:t>sommé de compléter le marché par la formation sur l’utilisation dd MSPROJECT , raison pour laquelle les paiements ne sont pas complétement fait</w:t>
            </w:r>
          </w:p>
        </w:tc>
        <w:tc>
          <w:tcPr>
            <w:tcW w:w="911" w:type="pct"/>
            <w:tcBorders>
              <w:top w:val="nil"/>
              <w:left w:val="nil"/>
              <w:bottom w:val="single" w:sz="4" w:space="0" w:color="auto"/>
              <w:right w:val="single" w:sz="4" w:space="0" w:color="auto"/>
            </w:tcBorders>
            <w:shd w:val="clear" w:color="auto" w:fill="auto"/>
            <w:noWrap/>
            <w:vAlign w:val="center"/>
            <w:hideMark/>
          </w:tcPr>
          <w:p w14:paraId="2AC756BC" w14:textId="1FA79C13"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22C3A">
              <w:rPr>
                <w:rFonts w:ascii="Times New Roman" w:eastAsia="Times New Roman" w:hAnsi="Times New Roman" w:cs="Times New Roman"/>
                <w:color w:val="000000"/>
                <w:lang w:eastAsia="fr-FR"/>
              </w:rPr>
              <w:t>La formation aura lieu et les paiements faits au complet</w:t>
            </w:r>
          </w:p>
        </w:tc>
        <w:tc>
          <w:tcPr>
            <w:tcW w:w="55" w:type="pct"/>
            <w:vAlign w:val="center"/>
            <w:hideMark/>
          </w:tcPr>
          <w:p w14:paraId="3C572438"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157D2CB0"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7ADEF"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 Activité 2: Audit comptable annuel </w:t>
            </w:r>
          </w:p>
        </w:tc>
        <w:tc>
          <w:tcPr>
            <w:tcW w:w="656" w:type="pct"/>
            <w:tcBorders>
              <w:top w:val="nil"/>
              <w:left w:val="nil"/>
              <w:bottom w:val="single" w:sz="4" w:space="0" w:color="auto"/>
              <w:right w:val="single" w:sz="4" w:space="0" w:color="auto"/>
            </w:tcBorders>
            <w:shd w:val="clear" w:color="auto" w:fill="auto"/>
            <w:noWrap/>
            <w:vAlign w:val="center"/>
            <w:hideMark/>
          </w:tcPr>
          <w:p w14:paraId="00F871FC" w14:textId="2D8DF984"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22C3A">
              <w:rPr>
                <w:rFonts w:ascii="Times New Roman" w:eastAsia="Times New Roman" w:hAnsi="Times New Roman" w:cs="Times New Roman"/>
                <w:color w:val="000000"/>
                <w:lang w:eastAsia="fr-FR"/>
              </w:rPr>
              <w:t>Lenteur dans la validation administrative</w:t>
            </w:r>
          </w:p>
        </w:tc>
        <w:tc>
          <w:tcPr>
            <w:tcW w:w="959" w:type="pct"/>
            <w:tcBorders>
              <w:top w:val="nil"/>
              <w:left w:val="nil"/>
              <w:bottom w:val="single" w:sz="4" w:space="0" w:color="auto"/>
              <w:right w:val="single" w:sz="4" w:space="0" w:color="auto"/>
            </w:tcBorders>
            <w:shd w:val="clear" w:color="auto" w:fill="auto"/>
            <w:noWrap/>
            <w:vAlign w:val="center"/>
            <w:hideMark/>
          </w:tcPr>
          <w:p w14:paraId="563980F3" w14:textId="4B174853"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22C3A">
              <w:rPr>
                <w:rFonts w:ascii="Times New Roman" w:eastAsia="Times New Roman" w:hAnsi="Times New Roman" w:cs="Times New Roman"/>
                <w:color w:val="000000"/>
                <w:lang w:eastAsia="fr-FR"/>
              </w:rPr>
              <w:t xml:space="preserve">L’audit interne avait été réalisé depuis 2021, le rapport soumis pour validation et signature par le Recteur </w:t>
            </w:r>
          </w:p>
        </w:tc>
        <w:tc>
          <w:tcPr>
            <w:tcW w:w="1296" w:type="pct"/>
            <w:tcBorders>
              <w:top w:val="nil"/>
              <w:left w:val="nil"/>
              <w:bottom w:val="single" w:sz="4" w:space="0" w:color="auto"/>
              <w:right w:val="single" w:sz="4" w:space="0" w:color="auto"/>
            </w:tcBorders>
            <w:shd w:val="clear" w:color="auto" w:fill="auto"/>
            <w:noWrap/>
            <w:vAlign w:val="center"/>
            <w:hideMark/>
          </w:tcPr>
          <w:p w14:paraId="7714D127" w14:textId="7D9109C1"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722C3A">
              <w:rPr>
                <w:rFonts w:ascii="Times New Roman" w:eastAsia="Times New Roman" w:hAnsi="Times New Roman" w:cs="Times New Roman"/>
                <w:color w:val="000000"/>
                <w:lang w:eastAsia="fr-FR"/>
              </w:rPr>
              <w:t>Le Recteur a été interpellé</w:t>
            </w:r>
          </w:p>
        </w:tc>
        <w:tc>
          <w:tcPr>
            <w:tcW w:w="911" w:type="pct"/>
            <w:tcBorders>
              <w:top w:val="nil"/>
              <w:left w:val="nil"/>
              <w:bottom w:val="single" w:sz="4" w:space="0" w:color="auto"/>
              <w:right w:val="single" w:sz="4" w:space="0" w:color="auto"/>
            </w:tcBorders>
            <w:shd w:val="clear" w:color="auto" w:fill="auto"/>
            <w:noWrap/>
            <w:vAlign w:val="center"/>
            <w:hideMark/>
          </w:tcPr>
          <w:p w14:paraId="74A8B987" w14:textId="3C9B679A"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086935">
              <w:rPr>
                <w:rFonts w:ascii="Times New Roman" w:eastAsia="Times New Roman" w:hAnsi="Times New Roman" w:cs="Times New Roman"/>
                <w:color w:val="000000"/>
                <w:lang w:eastAsia="fr-FR"/>
              </w:rPr>
              <w:t xml:space="preserve">Les rapports d’audit interne seront disponibles </w:t>
            </w:r>
          </w:p>
        </w:tc>
        <w:tc>
          <w:tcPr>
            <w:tcW w:w="55" w:type="pct"/>
            <w:vAlign w:val="center"/>
            <w:hideMark/>
          </w:tcPr>
          <w:p w14:paraId="07E273B2"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27FE26D2"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8182D"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Activité 3 : Evaluation à mi-parcours</w:t>
            </w:r>
          </w:p>
        </w:tc>
        <w:tc>
          <w:tcPr>
            <w:tcW w:w="656" w:type="pct"/>
            <w:tcBorders>
              <w:top w:val="nil"/>
              <w:left w:val="nil"/>
              <w:bottom w:val="single" w:sz="4" w:space="0" w:color="auto"/>
              <w:right w:val="single" w:sz="4" w:space="0" w:color="auto"/>
            </w:tcBorders>
            <w:shd w:val="clear" w:color="auto" w:fill="auto"/>
            <w:noWrap/>
            <w:vAlign w:val="center"/>
            <w:hideMark/>
          </w:tcPr>
          <w:p w14:paraId="6334780C" w14:textId="59A53D10"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503240">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6EEE4E61"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96" w:type="pct"/>
            <w:tcBorders>
              <w:top w:val="nil"/>
              <w:left w:val="nil"/>
              <w:bottom w:val="single" w:sz="4" w:space="0" w:color="auto"/>
              <w:right w:val="single" w:sz="4" w:space="0" w:color="auto"/>
            </w:tcBorders>
            <w:shd w:val="clear" w:color="auto" w:fill="auto"/>
            <w:noWrap/>
            <w:vAlign w:val="center"/>
            <w:hideMark/>
          </w:tcPr>
          <w:p w14:paraId="4741E044"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45456273"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11DEB623" w14:textId="77777777" w:rsidR="00B00643" w:rsidRPr="002A4D17" w:rsidRDefault="00B00643" w:rsidP="008D7A30">
            <w:pPr>
              <w:rPr>
                <w:rFonts w:ascii="Times New Roman" w:eastAsia="Times New Roman" w:hAnsi="Times New Roman" w:cs="Times New Roman"/>
                <w:sz w:val="20"/>
                <w:szCs w:val="20"/>
                <w:lang w:eastAsia="fr-FR"/>
              </w:rPr>
            </w:pPr>
          </w:p>
        </w:tc>
      </w:tr>
      <w:tr w:rsidR="00B00643" w:rsidRPr="002A4D17" w14:paraId="0D5D3F9D" w14:textId="77777777" w:rsidTr="0082033E">
        <w:trPr>
          <w:trHeight w:val="31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4126A"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xml:space="preserve"> Activité 4: Evaluation finale</w:t>
            </w:r>
          </w:p>
        </w:tc>
        <w:tc>
          <w:tcPr>
            <w:tcW w:w="656" w:type="pct"/>
            <w:tcBorders>
              <w:top w:val="nil"/>
              <w:left w:val="nil"/>
              <w:bottom w:val="single" w:sz="4" w:space="0" w:color="auto"/>
              <w:right w:val="single" w:sz="4" w:space="0" w:color="auto"/>
            </w:tcBorders>
            <w:shd w:val="clear" w:color="auto" w:fill="auto"/>
            <w:noWrap/>
            <w:vAlign w:val="center"/>
            <w:hideMark/>
          </w:tcPr>
          <w:p w14:paraId="6EE35B53" w14:textId="332479A9"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r w:rsidR="00503240">
              <w:rPr>
                <w:rFonts w:ascii="Times New Roman" w:eastAsia="Times New Roman" w:hAnsi="Times New Roman" w:cs="Times New Roman"/>
                <w:color w:val="000000"/>
                <w:lang w:eastAsia="fr-FR"/>
              </w:rPr>
              <w:t>Pas d’obstacle</w:t>
            </w:r>
          </w:p>
        </w:tc>
        <w:tc>
          <w:tcPr>
            <w:tcW w:w="959" w:type="pct"/>
            <w:tcBorders>
              <w:top w:val="nil"/>
              <w:left w:val="nil"/>
              <w:bottom w:val="single" w:sz="4" w:space="0" w:color="auto"/>
              <w:right w:val="single" w:sz="4" w:space="0" w:color="auto"/>
            </w:tcBorders>
            <w:shd w:val="clear" w:color="auto" w:fill="auto"/>
            <w:noWrap/>
            <w:vAlign w:val="center"/>
            <w:hideMark/>
          </w:tcPr>
          <w:p w14:paraId="233371C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1296" w:type="pct"/>
            <w:tcBorders>
              <w:top w:val="nil"/>
              <w:left w:val="nil"/>
              <w:bottom w:val="single" w:sz="4" w:space="0" w:color="auto"/>
              <w:right w:val="single" w:sz="4" w:space="0" w:color="auto"/>
            </w:tcBorders>
            <w:shd w:val="clear" w:color="auto" w:fill="auto"/>
            <w:noWrap/>
            <w:vAlign w:val="center"/>
            <w:hideMark/>
          </w:tcPr>
          <w:p w14:paraId="07A14F4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911" w:type="pct"/>
            <w:tcBorders>
              <w:top w:val="nil"/>
              <w:left w:val="nil"/>
              <w:bottom w:val="single" w:sz="4" w:space="0" w:color="auto"/>
              <w:right w:val="single" w:sz="4" w:space="0" w:color="auto"/>
            </w:tcBorders>
            <w:shd w:val="clear" w:color="auto" w:fill="auto"/>
            <w:noWrap/>
            <w:vAlign w:val="center"/>
            <w:hideMark/>
          </w:tcPr>
          <w:p w14:paraId="526B9BDB" w14:textId="77777777" w:rsidR="00B00643" w:rsidRPr="00687642" w:rsidRDefault="00B00643" w:rsidP="008D7A30">
            <w:pPr>
              <w:rPr>
                <w:rFonts w:ascii="Times New Roman" w:eastAsia="Times New Roman" w:hAnsi="Times New Roman" w:cs="Times New Roman"/>
                <w:color w:val="000000"/>
                <w:lang w:eastAsia="fr-FR"/>
              </w:rPr>
            </w:pPr>
            <w:r w:rsidRPr="00687642">
              <w:rPr>
                <w:rFonts w:ascii="Times New Roman" w:eastAsia="Times New Roman" w:hAnsi="Times New Roman" w:cs="Times New Roman"/>
                <w:color w:val="000000"/>
                <w:lang w:eastAsia="fr-FR"/>
              </w:rPr>
              <w:t> </w:t>
            </w:r>
          </w:p>
        </w:tc>
        <w:tc>
          <w:tcPr>
            <w:tcW w:w="55" w:type="pct"/>
            <w:vAlign w:val="center"/>
            <w:hideMark/>
          </w:tcPr>
          <w:p w14:paraId="0546EF76" w14:textId="77777777" w:rsidR="00B00643" w:rsidRPr="002A4D17" w:rsidRDefault="00B00643" w:rsidP="008D7A30">
            <w:pPr>
              <w:rPr>
                <w:rFonts w:ascii="Times New Roman" w:eastAsia="Times New Roman" w:hAnsi="Times New Roman" w:cs="Times New Roman"/>
                <w:sz w:val="20"/>
                <w:szCs w:val="20"/>
                <w:lang w:eastAsia="fr-FR"/>
              </w:rPr>
            </w:pPr>
          </w:p>
        </w:tc>
      </w:tr>
    </w:tbl>
    <w:p w14:paraId="0A38DEE6" w14:textId="0C1285A3" w:rsidR="004D7895" w:rsidRDefault="004D7895" w:rsidP="00B00643"/>
    <w:p w14:paraId="3D9D6541" w14:textId="30A5EF94" w:rsidR="00736AED" w:rsidRDefault="00736AED" w:rsidP="00B00643"/>
    <w:p w14:paraId="68E4C061" w14:textId="0348D9D8" w:rsidR="000823D6" w:rsidRDefault="000823D6" w:rsidP="00B00643">
      <w:r w:rsidRPr="00E92E61">
        <w:rPr>
          <w:b/>
          <w:bCs/>
        </w:rPr>
        <w:t>Prévisions de décaissement Mai-Juin 2022</w:t>
      </w:r>
      <w:r>
        <w:rPr>
          <w:b/>
          <w:bCs/>
        </w:rPr>
        <w:t xml:space="preserve"> </w:t>
      </w:r>
    </w:p>
    <w:p w14:paraId="39C8D3FF" w14:textId="427E6B4E" w:rsidR="00736AED" w:rsidRDefault="00736AED" w:rsidP="000823D6">
      <w:pPr>
        <w:jc w:val="both"/>
      </w:pPr>
      <w:r>
        <w:t xml:space="preserve">Les actions prévues à différents niveaux pour l’accélération de la mise en œuvre du projet </w:t>
      </w:r>
      <w:r w:rsidR="00C820A5">
        <w:t xml:space="preserve">sont supportées par un budget estimé à un  montant total de 495 </w:t>
      </w:r>
      <w:r w:rsidR="009E3742">
        <w:t>2</w:t>
      </w:r>
      <w:r w:rsidR="00C820A5">
        <w:t xml:space="preserve">00 </w:t>
      </w:r>
      <w:r w:rsidR="009E3742">
        <w:t>000</w:t>
      </w:r>
      <w:r w:rsidR="00C820A5">
        <w:t>Frs CFA qui seront exécutés à la fin du mois de juillet 2022. Par conséquent, il permettra de rehausser le taux d’exécution financière à 26%. Il faut noter qu’une bonne partie de ce montant est mobiliser pour les acquisition</w:t>
      </w:r>
      <w:r w:rsidR="000823D6">
        <w:t xml:space="preserve">s </w:t>
      </w:r>
      <w:r w:rsidR="00C820A5">
        <w:t>d’équipement, travaux de réhabilitation</w:t>
      </w:r>
      <w:r w:rsidR="000823D6">
        <w:t xml:space="preserve"> et aménagement des fermes écoles. Ce montant fut inscrit dans le DLI 4.3 dont les jalons sont remboursables.</w:t>
      </w:r>
    </w:p>
    <w:tbl>
      <w:tblPr>
        <w:tblpPr w:leftFromText="141" w:rightFromText="141" w:vertAnchor="page" w:horzAnchor="page" w:tblpX="1592" w:tblpY="1"/>
        <w:tblW w:w="14237" w:type="dxa"/>
        <w:tblLayout w:type="fixed"/>
        <w:tblCellMar>
          <w:left w:w="70" w:type="dxa"/>
          <w:right w:w="70" w:type="dxa"/>
        </w:tblCellMar>
        <w:tblLook w:val="04A0" w:firstRow="1" w:lastRow="0" w:firstColumn="1" w:lastColumn="0" w:noHBand="0" w:noVBand="1"/>
      </w:tblPr>
      <w:tblGrid>
        <w:gridCol w:w="5804"/>
        <w:gridCol w:w="1629"/>
        <w:gridCol w:w="1915"/>
        <w:gridCol w:w="2196"/>
        <w:gridCol w:w="2693"/>
      </w:tblGrid>
      <w:tr w:rsidR="004D7895" w:rsidRPr="00E92E61" w14:paraId="03B0045D" w14:textId="77777777" w:rsidTr="00E92E61">
        <w:trPr>
          <w:trHeight w:val="640"/>
        </w:trPr>
        <w:tc>
          <w:tcPr>
            <w:tcW w:w="14237" w:type="dxa"/>
            <w:gridSpan w:val="5"/>
            <w:tcBorders>
              <w:bottom w:val="single" w:sz="4" w:space="0" w:color="auto"/>
            </w:tcBorders>
            <w:shd w:val="clear" w:color="auto" w:fill="auto"/>
            <w:noWrap/>
            <w:vAlign w:val="center"/>
          </w:tcPr>
          <w:p w14:paraId="1B6819BC" w14:textId="7D2552C2" w:rsidR="004D7895" w:rsidRPr="00E92E61" w:rsidRDefault="00857B8C" w:rsidP="00857B8C">
            <w:pPr>
              <w:rPr>
                <w:rFonts w:ascii="Calibri" w:eastAsia="Times New Roman" w:hAnsi="Calibri" w:cs="Times New Roman"/>
                <w:b/>
                <w:bCs/>
                <w:color w:val="000000"/>
                <w:lang w:val="fr-FR" w:eastAsia="fr-FR"/>
              </w:rPr>
            </w:pPr>
            <w:r w:rsidRPr="00E92E61">
              <w:rPr>
                <w:b/>
                <w:bCs/>
              </w:rPr>
              <w:lastRenderedPageBreak/>
              <w:t>Tableau </w:t>
            </w:r>
            <w:r w:rsidR="00E92E61" w:rsidRPr="00E92E61">
              <w:rPr>
                <w:b/>
                <w:bCs/>
              </w:rPr>
              <w:t xml:space="preserve">4 </w:t>
            </w:r>
            <w:r w:rsidRPr="00E92E61">
              <w:rPr>
                <w:b/>
                <w:bCs/>
              </w:rPr>
              <w:t xml:space="preserve">: </w:t>
            </w:r>
            <w:r w:rsidR="004D7895" w:rsidRPr="00E92E61">
              <w:rPr>
                <w:b/>
                <w:bCs/>
              </w:rPr>
              <w:t>Prévisions de décaissement Mai-Juin 2022</w:t>
            </w:r>
          </w:p>
        </w:tc>
      </w:tr>
      <w:tr w:rsidR="004D7895" w:rsidRPr="004D7895" w14:paraId="5CE5CB19" w14:textId="77777777" w:rsidTr="00857B8C">
        <w:trPr>
          <w:trHeight w:val="725"/>
        </w:trPr>
        <w:tc>
          <w:tcPr>
            <w:tcW w:w="58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A406B4" w14:textId="77777777" w:rsidR="004D7895" w:rsidRPr="004D7895" w:rsidRDefault="004D7895" w:rsidP="004D7895">
            <w:pPr>
              <w:jc w:val="center"/>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Activités du plan de travail</w:t>
            </w:r>
          </w:p>
        </w:tc>
        <w:tc>
          <w:tcPr>
            <w:tcW w:w="57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A1F398" w14:textId="77777777" w:rsidR="004D7895" w:rsidRPr="004D7895" w:rsidRDefault="004D7895" w:rsidP="004D7895">
            <w:pPr>
              <w:jc w:val="center"/>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Situation Exécution Financière 2022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ADDA5" w14:textId="77777777" w:rsidR="004D7895" w:rsidRPr="004D7895" w:rsidRDefault="004D7895" w:rsidP="004D7895">
            <w:pPr>
              <w:jc w:val="center"/>
              <w:rPr>
                <w:rFonts w:ascii="Calibri" w:eastAsia="Times New Roman" w:hAnsi="Calibri" w:cs="Times New Roman"/>
                <w:color w:val="000000"/>
                <w:sz w:val="22"/>
                <w:szCs w:val="22"/>
                <w:lang w:val="fr-FR" w:eastAsia="fr-FR"/>
              </w:rPr>
            </w:pPr>
            <w:r w:rsidRPr="004D7895">
              <w:rPr>
                <w:rFonts w:ascii="Calibri" w:eastAsia="Times New Roman" w:hAnsi="Calibri" w:cs="Times New Roman"/>
                <w:color w:val="000000"/>
                <w:sz w:val="22"/>
                <w:szCs w:val="22"/>
                <w:lang w:val="fr-FR" w:eastAsia="fr-FR"/>
              </w:rPr>
              <w:t>Prévisions de décaissement Mai-Juin 2022</w:t>
            </w:r>
          </w:p>
        </w:tc>
      </w:tr>
      <w:tr w:rsidR="004D7895" w:rsidRPr="004D7895" w14:paraId="1001AD6C" w14:textId="77777777" w:rsidTr="004B7F8A">
        <w:trPr>
          <w:trHeight w:val="660"/>
        </w:trPr>
        <w:tc>
          <w:tcPr>
            <w:tcW w:w="5804" w:type="dxa"/>
            <w:vMerge/>
            <w:tcBorders>
              <w:top w:val="single" w:sz="4" w:space="0" w:color="auto"/>
              <w:left w:val="single" w:sz="4" w:space="0" w:color="auto"/>
              <w:bottom w:val="single" w:sz="4" w:space="0" w:color="auto"/>
              <w:right w:val="single" w:sz="4" w:space="0" w:color="auto"/>
            </w:tcBorders>
            <w:vAlign w:val="center"/>
            <w:hideMark/>
          </w:tcPr>
          <w:p w14:paraId="76AD54D9" w14:textId="77777777" w:rsidR="004D7895" w:rsidRPr="004D7895" w:rsidRDefault="004D7895" w:rsidP="004D7895">
            <w:pPr>
              <w:rPr>
                <w:rFonts w:ascii="Times New Roman" w:eastAsia="Times New Roman" w:hAnsi="Times New Roman" w:cs="Times New Roman"/>
                <w:b/>
                <w:bCs/>
                <w:color w:val="000000"/>
                <w:lang w:val="fr-FR" w:eastAsia="fr-FR"/>
              </w:rPr>
            </w:pPr>
          </w:p>
        </w:tc>
        <w:tc>
          <w:tcPr>
            <w:tcW w:w="1629" w:type="dxa"/>
            <w:tcBorders>
              <w:top w:val="nil"/>
              <w:left w:val="nil"/>
              <w:bottom w:val="single" w:sz="4" w:space="0" w:color="auto"/>
              <w:right w:val="single" w:sz="4" w:space="0" w:color="auto"/>
            </w:tcBorders>
            <w:shd w:val="clear" w:color="auto" w:fill="F2F2F2" w:themeFill="background1" w:themeFillShade="F2"/>
            <w:vAlign w:val="center"/>
            <w:hideMark/>
          </w:tcPr>
          <w:p w14:paraId="729CEFB5" w14:textId="77777777" w:rsidR="004D7895" w:rsidRPr="004D7895" w:rsidRDefault="004D7895" w:rsidP="004D7895">
            <w:pPr>
              <w:jc w:val="center"/>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Budget estimé ($)</w:t>
            </w:r>
          </w:p>
        </w:tc>
        <w:tc>
          <w:tcPr>
            <w:tcW w:w="1915" w:type="dxa"/>
            <w:tcBorders>
              <w:top w:val="nil"/>
              <w:left w:val="nil"/>
              <w:bottom w:val="single" w:sz="4" w:space="0" w:color="auto"/>
              <w:right w:val="single" w:sz="4" w:space="0" w:color="auto"/>
            </w:tcBorders>
            <w:shd w:val="clear" w:color="auto" w:fill="F2F2F2" w:themeFill="background1" w:themeFillShade="F2"/>
            <w:vAlign w:val="center"/>
            <w:hideMark/>
          </w:tcPr>
          <w:p w14:paraId="09A4DBBB" w14:textId="77777777" w:rsidR="004D7895" w:rsidRPr="004D7895" w:rsidRDefault="004D7895" w:rsidP="004D7895">
            <w:pPr>
              <w:jc w:val="center"/>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Budget estimé en (FCFA)</w:t>
            </w:r>
          </w:p>
        </w:tc>
        <w:tc>
          <w:tcPr>
            <w:tcW w:w="2196" w:type="dxa"/>
            <w:tcBorders>
              <w:top w:val="nil"/>
              <w:left w:val="nil"/>
              <w:bottom w:val="single" w:sz="4" w:space="0" w:color="auto"/>
              <w:right w:val="single" w:sz="4" w:space="0" w:color="auto"/>
            </w:tcBorders>
            <w:shd w:val="clear" w:color="auto" w:fill="F2F2F2" w:themeFill="background1" w:themeFillShade="F2"/>
            <w:vAlign w:val="center"/>
            <w:hideMark/>
          </w:tcPr>
          <w:p w14:paraId="148E5AD8" w14:textId="77777777" w:rsidR="004D7895" w:rsidRPr="004D7895" w:rsidRDefault="004D7895" w:rsidP="004D7895">
            <w:pPr>
              <w:jc w:val="center"/>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Réalisation en (FCFA)</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3FD601" w14:textId="77777777" w:rsidR="004D7895" w:rsidRPr="004D7895" w:rsidRDefault="004D7895" w:rsidP="004D7895">
            <w:pPr>
              <w:rPr>
                <w:rFonts w:ascii="Calibri" w:eastAsia="Times New Roman" w:hAnsi="Calibri" w:cs="Times New Roman"/>
                <w:color w:val="000000"/>
                <w:sz w:val="22"/>
                <w:szCs w:val="22"/>
                <w:lang w:val="fr-FR" w:eastAsia="fr-FR"/>
              </w:rPr>
            </w:pPr>
          </w:p>
        </w:tc>
      </w:tr>
      <w:tr w:rsidR="004D7895" w:rsidRPr="004D7895" w14:paraId="3564B8BA" w14:textId="77777777" w:rsidTr="004D7895">
        <w:trPr>
          <w:trHeight w:val="661"/>
        </w:trPr>
        <w:tc>
          <w:tcPr>
            <w:tcW w:w="5804" w:type="dxa"/>
            <w:tcBorders>
              <w:top w:val="nil"/>
              <w:left w:val="single" w:sz="4" w:space="0" w:color="auto"/>
              <w:bottom w:val="single" w:sz="4" w:space="0" w:color="auto"/>
              <w:right w:val="single" w:sz="4" w:space="0" w:color="auto"/>
            </w:tcBorders>
            <w:shd w:val="clear" w:color="000000" w:fill="9BC2E6"/>
            <w:noWrap/>
            <w:vAlign w:val="center"/>
            <w:hideMark/>
          </w:tcPr>
          <w:p w14:paraId="2B66BF88" w14:textId="77777777" w:rsidR="004D7895" w:rsidRPr="004D7895" w:rsidRDefault="004D7895" w:rsidP="004D7895">
            <w:pPr>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FORMATION\DLI 1 - DLI 3 - DLI5.2 - DLI5.3 - DLI7.3</w:t>
            </w:r>
          </w:p>
        </w:tc>
        <w:tc>
          <w:tcPr>
            <w:tcW w:w="1629" w:type="dxa"/>
            <w:tcBorders>
              <w:top w:val="nil"/>
              <w:left w:val="nil"/>
              <w:bottom w:val="single" w:sz="4" w:space="0" w:color="auto"/>
              <w:right w:val="single" w:sz="4" w:space="0" w:color="auto"/>
            </w:tcBorders>
            <w:shd w:val="clear" w:color="000000" w:fill="9BC2E6"/>
            <w:noWrap/>
            <w:vAlign w:val="center"/>
            <w:hideMark/>
          </w:tcPr>
          <w:p w14:paraId="1FCEA032"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1 659 000</w:t>
            </w:r>
          </w:p>
        </w:tc>
        <w:tc>
          <w:tcPr>
            <w:tcW w:w="1915" w:type="dxa"/>
            <w:tcBorders>
              <w:top w:val="nil"/>
              <w:left w:val="nil"/>
              <w:bottom w:val="single" w:sz="4" w:space="0" w:color="auto"/>
              <w:right w:val="single" w:sz="4" w:space="0" w:color="auto"/>
            </w:tcBorders>
            <w:shd w:val="clear" w:color="000000" w:fill="9BC2E6"/>
            <w:noWrap/>
            <w:vAlign w:val="center"/>
            <w:hideMark/>
          </w:tcPr>
          <w:p w14:paraId="54E46532"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929 040 000</w:t>
            </w:r>
          </w:p>
        </w:tc>
        <w:tc>
          <w:tcPr>
            <w:tcW w:w="2196" w:type="dxa"/>
            <w:tcBorders>
              <w:top w:val="nil"/>
              <w:left w:val="nil"/>
              <w:bottom w:val="single" w:sz="4" w:space="0" w:color="auto"/>
              <w:right w:val="single" w:sz="4" w:space="0" w:color="auto"/>
            </w:tcBorders>
            <w:shd w:val="clear" w:color="000000" w:fill="9BC2E6"/>
            <w:noWrap/>
            <w:vAlign w:val="center"/>
            <w:hideMark/>
          </w:tcPr>
          <w:p w14:paraId="590B107F"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2 827 500</w:t>
            </w:r>
          </w:p>
        </w:tc>
        <w:tc>
          <w:tcPr>
            <w:tcW w:w="2693" w:type="dxa"/>
            <w:tcBorders>
              <w:top w:val="nil"/>
              <w:left w:val="nil"/>
              <w:bottom w:val="single" w:sz="4" w:space="0" w:color="auto"/>
              <w:right w:val="single" w:sz="4" w:space="0" w:color="auto"/>
            </w:tcBorders>
            <w:shd w:val="clear" w:color="000000" w:fill="9BC2E6"/>
            <w:noWrap/>
            <w:vAlign w:val="center"/>
            <w:hideMark/>
          </w:tcPr>
          <w:p w14:paraId="1884B01B"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233 500 000</w:t>
            </w:r>
          </w:p>
        </w:tc>
      </w:tr>
      <w:tr w:rsidR="004D7895" w:rsidRPr="004D7895" w14:paraId="05835A0B" w14:textId="77777777" w:rsidTr="004D7895">
        <w:trPr>
          <w:trHeight w:val="320"/>
        </w:trPr>
        <w:tc>
          <w:tcPr>
            <w:tcW w:w="5804" w:type="dxa"/>
            <w:tcBorders>
              <w:top w:val="nil"/>
              <w:left w:val="single" w:sz="4" w:space="0" w:color="auto"/>
              <w:bottom w:val="single" w:sz="4" w:space="0" w:color="auto"/>
              <w:right w:val="single" w:sz="4" w:space="0" w:color="auto"/>
            </w:tcBorders>
            <w:shd w:val="clear" w:color="auto" w:fill="auto"/>
            <w:noWrap/>
            <w:vAlign w:val="center"/>
            <w:hideMark/>
          </w:tcPr>
          <w:p w14:paraId="740F84E5"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a:</w:t>
            </w:r>
            <w:proofErr w:type="gramEnd"/>
            <w:r w:rsidRPr="004D7895">
              <w:rPr>
                <w:rFonts w:ascii="Times New Roman" w:eastAsia="Times New Roman" w:hAnsi="Times New Roman" w:cs="Times New Roman"/>
                <w:b/>
                <w:bCs/>
                <w:i/>
                <w:iCs/>
                <w:color w:val="000000"/>
                <w:lang w:val="fr-FR" w:eastAsia="fr-FR"/>
              </w:rPr>
              <w:t xml:space="preserve"> Renforcement des capacités physiques</w:t>
            </w:r>
          </w:p>
        </w:tc>
        <w:tc>
          <w:tcPr>
            <w:tcW w:w="1629" w:type="dxa"/>
            <w:tcBorders>
              <w:top w:val="nil"/>
              <w:left w:val="nil"/>
              <w:bottom w:val="single" w:sz="4" w:space="0" w:color="auto"/>
              <w:right w:val="single" w:sz="4" w:space="0" w:color="auto"/>
            </w:tcBorders>
            <w:shd w:val="clear" w:color="auto" w:fill="auto"/>
            <w:noWrap/>
            <w:vAlign w:val="center"/>
            <w:hideMark/>
          </w:tcPr>
          <w:p w14:paraId="126A306B"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230 000</w:t>
            </w:r>
          </w:p>
        </w:tc>
        <w:tc>
          <w:tcPr>
            <w:tcW w:w="1915" w:type="dxa"/>
            <w:tcBorders>
              <w:top w:val="nil"/>
              <w:left w:val="nil"/>
              <w:bottom w:val="single" w:sz="4" w:space="0" w:color="auto"/>
              <w:right w:val="single" w:sz="4" w:space="0" w:color="auto"/>
            </w:tcBorders>
            <w:shd w:val="clear" w:color="auto" w:fill="auto"/>
            <w:noWrap/>
            <w:vAlign w:val="center"/>
            <w:hideMark/>
          </w:tcPr>
          <w:p w14:paraId="0ED029A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128 800 000</w:t>
            </w:r>
          </w:p>
        </w:tc>
        <w:tc>
          <w:tcPr>
            <w:tcW w:w="2196" w:type="dxa"/>
            <w:tcBorders>
              <w:top w:val="nil"/>
              <w:left w:val="nil"/>
              <w:bottom w:val="single" w:sz="4" w:space="0" w:color="auto"/>
              <w:right w:val="single" w:sz="4" w:space="0" w:color="auto"/>
            </w:tcBorders>
            <w:shd w:val="clear" w:color="auto" w:fill="auto"/>
            <w:noWrap/>
            <w:vAlign w:val="center"/>
            <w:hideMark/>
          </w:tcPr>
          <w:p w14:paraId="62DAA8A8"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79852FB0"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r>
      <w:tr w:rsidR="004D7895" w:rsidRPr="004D7895" w14:paraId="74C31304" w14:textId="77777777" w:rsidTr="004D7895">
        <w:trPr>
          <w:trHeight w:val="64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1B220914"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b:</w:t>
            </w:r>
            <w:proofErr w:type="gramEnd"/>
            <w:r w:rsidRPr="004D7895">
              <w:rPr>
                <w:rFonts w:ascii="Times New Roman" w:eastAsia="Times New Roman" w:hAnsi="Times New Roman" w:cs="Times New Roman"/>
                <w:b/>
                <w:bCs/>
                <w:i/>
                <w:iCs/>
                <w:color w:val="000000"/>
                <w:lang w:val="fr-FR" w:eastAsia="fr-FR"/>
              </w:rPr>
              <w:t xml:space="preserve"> Renforcement des capacités des enseignants et du personnel administratif et technique</w:t>
            </w:r>
          </w:p>
        </w:tc>
        <w:tc>
          <w:tcPr>
            <w:tcW w:w="1629" w:type="dxa"/>
            <w:tcBorders>
              <w:top w:val="nil"/>
              <w:left w:val="nil"/>
              <w:bottom w:val="single" w:sz="4" w:space="0" w:color="auto"/>
              <w:right w:val="single" w:sz="4" w:space="0" w:color="auto"/>
            </w:tcBorders>
            <w:shd w:val="clear" w:color="auto" w:fill="auto"/>
            <w:noWrap/>
            <w:vAlign w:val="center"/>
            <w:hideMark/>
          </w:tcPr>
          <w:p w14:paraId="03C2F6C5"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80 000</w:t>
            </w:r>
          </w:p>
        </w:tc>
        <w:tc>
          <w:tcPr>
            <w:tcW w:w="1915" w:type="dxa"/>
            <w:tcBorders>
              <w:top w:val="nil"/>
              <w:left w:val="nil"/>
              <w:bottom w:val="single" w:sz="4" w:space="0" w:color="auto"/>
              <w:right w:val="single" w:sz="4" w:space="0" w:color="auto"/>
            </w:tcBorders>
            <w:shd w:val="clear" w:color="auto" w:fill="auto"/>
            <w:noWrap/>
            <w:vAlign w:val="center"/>
            <w:hideMark/>
          </w:tcPr>
          <w:p w14:paraId="6981A760"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44 800 000</w:t>
            </w:r>
          </w:p>
        </w:tc>
        <w:tc>
          <w:tcPr>
            <w:tcW w:w="2196" w:type="dxa"/>
            <w:tcBorders>
              <w:top w:val="nil"/>
              <w:left w:val="nil"/>
              <w:bottom w:val="single" w:sz="4" w:space="0" w:color="auto"/>
              <w:right w:val="single" w:sz="4" w:space="0" w:color="auto"/>
            </w:tcBorders>
            <w:shd w:val="clear" w:color="auto" w:fill="auto"/>
            <w:noWrap/>
            <w:vAlign w:val="center"/>
            <w:hideMark/>
          </w:tcPr>
          <w:p w14:paraId="2DFEF67A"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29426FAD"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33 000 000</w:t>
            </w:r>
          </w:p>
        </w:tc>
      </w:tr>
      <w:tr w:rsidR="004D7895" w:rsidRPr="004D7895" w14:paraId="6FE5E441" w14:textId="77777777" w:rsidTr="004D7895">
        <w:trPr>
          <w:trHeight w:val="32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7ABD721E"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c:</w:t>
            </w:r>
            <w:proofErr w:type="gramEnd"/>
            <w:r w:rsidRPr="004D7895">
              <w:rPr>
                <w:rFonts w:ascii="Times New Roman" w:eastAsia="Times New Roman" w:hAnsi="Times New Roman" w:cs="Times New Roman"/>
                <w:b/>
                <w:bCs/>
                <w:i/>
                <w:iCs/>
                <w:color w:val="000000"/>
                <w:lang w:val="fr-FR" w:eastAsia="fr-FR"/>
              </w:rPr>
              <w:t xml:space="preserve"> Acquisition de ressources documentaires</w:t>
            </w:r>
          </w:p>
        </w:tc>
        <w:tc>
          <w:tcPr>
            <w:tcW w:w="1629" w:type="dxa"/>
            <w:tcBorders>
              <w:top w:val="nil"/>
              <w:left w:val="nil"/>
              <w:bottom w:val="single" w:sz="4" w:space="0" w:color="auto"/>
              <w:right w:val="single" w:sz="4" w:space="0" w:color="auto"/>
            </w:tcBorders>
            <w:shd w:val="clear" w:color="auto" w:fill="auto"/>
            <w:noWrap/>
            <w:vAlign w:val="center"/>
            <w:hideMark/>
          </w:tcPr>
          <w:p w14:paraId="50CFD7DE"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1915" w:type="dxa"/>
            <w:tcBorders>
              <w:top w:val="nil"/>
              <w:left w:val="nil"/>
              <w:bottom w:val="single" w:sz="4" w:space="0" w:color="auto"/>
              <w:right w:val="single" w:sz="4" w:space="0" w:color="auto"/>
            </w:tcBorders>
            <w:shd w:val="clear" w:color="auto" w:fill="auto"/>
            <w:noWrap/>
            <w:vAlign w:val="center"/>
            <w:hideMark/>
          </w:tcPr>
          <w:p w14:paraId="509939F0"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196" w:type="dxa"/>
            <w:tcBorders>
              <w:top w:val="nil"/>
              <w:left w:val="nil"/>
              <w:bottom w:val="single" w:sz="4" w:space="0" w:color="auto"/>
              <w:right w:val="single" w:sz="4" w:space="0" w:color="auto"/>
            </w:tcBorders>
            <w:shd w:val="clear" w:color="auto" w:fill="auto"/>
            <w:noWrap/>
            <w:vAlign w:val="center"/>
            <w:hideMark/>
          </w:tcPr>
          <w:p w14:paraId="2150814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287D745D"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r>
      <w:tr w:rsidR="004D7895" w:rsidRPr="004D7895" w14:paraId="4BF840EF" w14:textId="77777777" w:rsidTr="004D7895">
        <w:trPr>
          <w:trHeight w:val="64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617294F6"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d:</w:t>
            </w:r>
            <w:proofErr w:type="gramEnd"/>
            <w:r w:rsidRPr="004D7895">
              <w:rPr>
                <w:rFonts w:ascii="Times New Roman" w:eastAsia="Times New Roman" w:hAnsi="Times New Roman" w:cs="Times New Roman"/>
                <w:b/>
                <w:bCs/>
                <w:i/>
                <w:iCs/>
                <w:color w:val="000000"/>
                <w:lang w:val="fr-FR" w:eastAsia="fr-FR"/>
              </w:rPr>
              <w:t xml:space="preserve"> Dispense des enseignements en master dans les universités  </w:t>
            </w:r>
          </w:p>
        </w:tc>
        <w:tc>
          <w:tcPr>
            <w:tcW w:w="1629" w:type="dxa"/>
            <w:tcBorders>
              <w:top w:val="nil"/>
              <w:left w:val="nil"/>
              <w:bottom w:val="single" w:sz="4" w:space="0" w:color="auto"/>
              <w:right w:val="single" w:sz="4" w:space="0" w:color="auto"/>
            </w:tcBorders>
            <w:shd w:val="clear" w:color="auto" w:fill="auto"/>
            <w:noWrap/>
            <w:vAlign w:val="center"/>
            <w:hideMark/>
          </w:tcPr>
          <w:p w14:paraId="03C98B3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80 000</w:t>
            </w:r>
          </w:p>
        </w:tc>
        <w:tc>
          <w:tcPr>
            <w:tcW w:w="1915" w:type="dxa"/>
            <w:tcBorders>
              <w:top w:val="nil"/>
              <w:left w:val="nil"/>
              <w:bottom w:val="single" w:sz="4" w:space="0" w:color="auto"/>
              <w:right w:val="single" w:sz="4" w:space="0" w:color="auto"/>
            </w:tcBorders>
            <w:shd w:val="clear" w:color="auto" w:fill="auto"/>
            <w:noWrap/>
            <w:vAlign w:val="center"/>
            <w:hideMark/>
          </w:tcPr>
          <w:p w14:paraId="65EF963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44 800 000</w:t>
            </w:r>
          </w:p>
        </w:tc>
        <w:tc>
          <w:tcPr>
            <w:tcW w:w="2196" w:type="dxa"/>
            <w:tcBorders>
              <w:top w:val="nil"/>
              <w:left w:val="nil"/>
              <w:bottom w:val="single" w:sz="4" w:space="0" w:color="auto"/>
              <w:right w:val="single" w:sz="4" w:space="0" w:color="auto"/>
            </w:tcBorders>
            <w:shd w:val="clear" w:color="auto" w:fill="auto"/>
            <w:noWrap/>
            <w:vAlign w:val="center"/>
            <w:hideMark/>
          </w:tcPr>
          <w:p w14:paraId="3363EF1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1BD81708"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9 000 000</w:t>
            </w:r>
          </w:p>
        </w:tc>
      </w:tr>
      <w:tr w:rsidR="004D7895" w:rsidRPr="004D7895" w14:paraId="799E89E3" w14:textId="77777777" w:rsidTr="004D7895">
        <w:trPr>
          <w:trHeight w:val="64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0DDFDF0E"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e:</w:t>
            </w:r>
            <w:proofErr w:type="gramEnd"/>
            <w:r w:rsidRPr="004D7895">
              <w:rPr>
                <w:rFonts w:ascii="Times New Roman" w:eastAsia="Times New Roman" w:hAnsi="Times New Roman" w:cs="Times New Roman"/>
                <w:b/>
                <w:bCs/>
                <w:i/>
                <w:iCs/>
                <w:color w:val="000000"/>
                <w:lang w:val="fr-FR" w:eastAsia="fr-FR"/>
              </w:rPr>
              <w:t xml:space="preserve"> Dispense des enseignements en PHD dans les universités</w:t>
            </w:r>
          </w:p>
        </w:tc>
        <w:tc>
          <w:tcPr>
            <w:tcW w:w="1629" w:type="dxa"/>
            <w:tcBorders>
              <w:top w:val="nil"/>
              <w:left w:val="nil"/>
              <w:bottom w:val="single" w:sz="4" w:space="0" w:color="auto"/>
              <w:right w:val="single" w:sz="4" w:space="0" w:color="auto"/>
            </w:tcBorders>
            <w:shd w:val="clear" w:color="auto" w:fill="auto"/>
            <w:noWrap/>
            <w:vAlign w:val="center"/>
            <w:hideMark/>
          </w:tcPr>
          <w:p w14:paraId="607CC179"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15 000</w:t>
            </w:r>
          </w:p>
        </w:tc>
        <w:tc>
          <w:tcPr>
            <w:tcW w:w="1915" w:type="dxa"/>
            <w:tcBorders>
              <w:top w:val="nil"/>
              <w:left w:val="nil"/>
              <w:bottom w:val="single" w:sz="4" w:space="0" w:color="auto"/>
              <w:right w:val="single" w:sz="4" w:space="0" w:color="auto"/>
            </w:tcBorders>
            <w:shd w:val="clear" w:color="auto" w:fill="auto"/>
            <w:noWrap/>
            <w:vAlign w:val="center"/>
            <w:hideMark/>
          </w:tcPr>
          <w:p w14:paraId="2D17314D"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8 400 000</w:t>
            </w:r>
          </w:p>
        </w:tc>
        <w:tc>
          <w:tcPr>
            <w:tcW w:w="2196" w:type="dxa"/>
            <w:tcBorders>
              <w:top w:val="nil"/>
              <w:left w:val="nil"/>
              <w:bottom w:val="single" w:sz="4" w:space="0" w:color="auto"/>
              <w:right w:val="single" w:sz="4" w:space="0" w:color="auto"/>
            </w:tcBorders>
            <w:shd w:val="clear" w:color="auto" w:fill="auto"/>
            <w:noWrap/>
            <w:vAlign w:val="center"/>
            <w:hideMark/>
          </w:tcPr>
          <w:p w14:paraId="6DCB117D"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226AE34B"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r>
      <w:tr w:rsidR="004D7895" w:rsidRPr="004D7895" w14:paraId="59E67A05" w14:textId="77777777" w:rsidTr="004D7895">
        <w:trPr>
          <w:trHeight w:val="64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521CBAE8"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f:</w:t>
            </w:r>
            <w:proofErr w:type="gramEnd"/>
            <w:r w:rsidRPr="004D7895">
              <w:rPr>
                <w:rFonts w:ascii="Times New Roman" w:eastAsia="Times New Roman" w:hAnsi="Times New Roman" w:cs="Times New Roman"/>
                <w:b/>
                <w:bCs/>
                <w:i/>
                <w:iCs/>
                <w:color w:val="000000"/>
                <w:lang w:val="fr-FR" w:eastAsia="fr-FR"/>
              </w:rPr>
              <w:t xml:space="preserve"> Dispense des enseignements de la formation continue et de la formation à la carte</w:t>
            </w:r>
          </w:p>
        </w:tc>
        <w:tc>
          <w:tcPr>
            <w:tcW w:w="1629" w:type="dxa"/>
            <w:tcBorders>
              <w:top w:val="nil"/>
              <w:left w:val="nil"/>
              <w:bottom w:val="single" w:sz="4" w:space="0" w:color="auto"/>
              <w:right w:val="single" w:sz="4" w:space="0" w:color="auto"/>
            </w:tcBorders>
            <w:shd w:val="clear" w:color="auto" w:fill="auto"/>
            <w:noWrap/>
            <w:vAlign w:val="center"/>
            <w:hideMark/>
          </w:tcPr>
          <w:p w14:paraId="333B306C"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50 000</w:t>
            </w:r>
          </w:p>
        </w:tc>
        <w:tc>
          <w:tcPr>
            <w:tcW w:w="1915" w:type="dxa"/>
            <w:tcBorders>
              <w:top w:val="nil"/>
              <w:left w:val="nil"/>
              <w:bottom w:val="single" w:sz="4" w:space="0" w:color="auto"/>
              <w:right w:val="single" w:sz="4" w:space="0" w:color="auto"/>
            </w:tcBorders>
            <w:shd w:val="clear" w:color="auto" w:fill="auto"/>
            <w:noWrap/>
            <w:vAlign w:val="center"/>
            <w:hideMark/>
          </w:tcPr>
          <w:p w14:paraId="00BD666C"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28 000 000</w:t>
            </w:r>
          </w:p>
        </w:tc>
        <w:tc>
          <w:tcPr>
            <w:tcW w:w="2196" w:type="dxa"/>
            <w:tcBorders>
              <w:top w:val="nil"/>
              <w:left w:val="nil"/>
              <w:bottom w:val="single" w:sz="4" w:space="0" w:color="auto"/>
              <w:right w:val="single" w:sz="4" w:space="0" w:color="auto"/>
            </w:tcBorders>
            <w:shd w:val="clear" w:color="auto" w:fill="auto"/>
            <w:noWrap/>
            <w:vAlign w:val="center"/>
            <w:hideMark/>
          </w:tcPr>
          <w:p w14:paraId="7D0EDFC6"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3EABA505"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6 000 000</w:t>
            </w:r>
          </w:p>
        </w:tc>
      </w:tr>
      <w:tr w:rsidR="004D7895" w:rsidRPr="004D7895" w14:paraId="7494CF06" w14:textId="77777777" w:rsidTr="004D7895">
        <w:trPr>
          <w:trHeight w:val="64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79E3FD69"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g:</w:t>
            </w:r>
            <w:proofErr w:type="gramEnd"/>
            <w:r w:rsidRPr="004D7895">
              <w:rPr>
                <w:rFonts w:ascii="Times New Roman" w:eastAsia="Times New Roman" w:hAnsi="Times New Roman" w:cs="Times New Roman"/>
                <w:b/>
                <w:bCs/>
                <w:i/>
                <w:iCs/>
                <w:color w:val="000000"/>
                <w:lang w:val="fr-FR" w:eastAsia="fr-FR"/>
              </w:rPr>
              <w:t xml:space="preserve"> Allocation de kits pédagogiques et de bourses d'étude et de recherche</w:t>
            </w:r>
          </w:p>
        </w:tc>
        <w:tc>
          <w:tcPr>
            <w:tcW w:w="1629" w:type="dxa"/>
            <w:tcBorders>
              <w:top w:val="nil"/>
              <w:left w:val="nil"/>
              <w:bottom w:val="single" w:sz="4" w:space="0" w:color="auto"/>
              <w:right w:val="single" w:sz="4" w:space="0" w:color="auto"/>
            </w:tcBorders>
            <w:shd w:val="clear" w:color="auto" w:fill="auto"/>
            <w:noWrap/>
            <w:vAlign w:val="center"/>
            <w:hideMark/>
          </w:tcPr>
          <w:p w14:paraId="3A7D9F0E"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100 000</w:t>
            </w:r>
          </w:p>
        </w:tc>
        <w:tc>
          <w:tcPr>
            <w:tcW w:w="1915" w:type="dxa"/>
            <w:tcBorders>
              <w:top w:val="nil"/>
              <w:left w:val="nil"/>
              <w:bottom w:val="single" w:sz="4" w:space="0" w:color="auto"/>
              <w:right w:val="single" w:sz="4" w:space="0" w:color="auto"/>
            </w:tcBorders>
            <w:shd w:val="clear" w:color="auto" w:fill="auto"/>
            <w:noWrap/>
            <w:vAlign w:val="center"/>
            <w:hideMark/>
          </w:tcPr>
          <w:p w14:paraId="004BA3F2"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56 000 000</w:t>
            </w:r>
          </w:p>
        </w:tc>
        <w:tc>
          <w:tcPr>
            <w:tcW w:w="2196" w:type="dxa"/>
            <w:tcBorders>
              <w:top w:val="nil"/>
              <w:left w:val="nil"/>
              <w:bottom w:val="single" w:sz="4" w:space="0" w:color="auto"/>
              <w:right w:val="single" w:sz="4" w:space="0" w:color="auto"/>
            </w:tcBorders>
            <w:shd w:val="clear" w:color="auto" w:fill="auto"/>
            <w:noWrap/>
            <w:vAlign w:val="center"/>
            <w:hideMark/>
          </w:tcPr>
          <w:p w14:paraId="70DD35CE"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71661732"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25 000 000</w:t>
            </w:r>
          </w:p>
        </w:tc>
      </w:tr>
      <w:tr w:rsidR="004D7895" w:rsidRPr="004D7895" w14:paraId="4AA62763" w14:textId="77777777" w:rsidTr="004D7895">
        <w:trPr>
          <w:trHeight w:val="64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0BD70EBF"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h:</w:t>
            </w:r>
            <w:proofErr w:type="gramEnd"/>
            <w:r w:rsidRPr="004D7895">
              <w:rPr>
                <w:rFonts w:ascii="Times New Roman" w:eastAsia="Times New Roman" w:hAnsi="Times New Roman" w:cs="Times New Roman"/>
                <w:b/>
                <w:bCs/>
                <w:i/>
                <w:iCs/>
                <w:color w:val="000000"/>
                <w:lang w:val="fr-FR" w:eastAsia="fr-FR"/>
              </w:rPr>
              <w:t xml:space="preserve"> Bureau d'information, d'assistance et de placement des étudiants</w:t>
            </w:r>
          </w:p>
        </w:tc>
        <w:tc>
          <w:tcPr>
            <w:tcW w:w="1629" w:type="dxa"/>
            <w:tcBorders>
              <w:top w:val="nil"/>
              <w:left w:val="nil"/>
              <w:bottom w:val="single" w:sz="4" w:space="0" w:color="auto"/>
              <w:right w:val="single" w:sz="4" w:space="0" w:color="auto"/>
            </w:tcBorders>
            <w:shd w:val="clear" w:color="auto" w:fill="auto"/>
            <w:noWrap/>
            <w:vAlign w:val="center"/>
            <w:hideMark/>
          </w:tcPr>
          <w:p w14:paraId="545D68B6"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70 000</w:t>
            </w:r>
          </w:p>
        </w:tc>
        <w:tc>
          <w:tcPr>
            <w:tcW w:w="1915" w:type="dxa"/>
            <w:tcBorders>
              <w:top w:val="nil"/>
              <w:left w:val="nil"/>
              <w:bottom w:val="single" w:sz="4" w:space="0" w:color="auto"/>
              <w:right w:val="single" w:sz="4" w:space="0" w:color="auto"/>
            </w:tcBorders>
            <w:shd w:val="clear" w:color="auto" w:fill="auto"/>
            <w:noWrap/>
            <w:vAlign w:val="center"/>
            <w:hideMark/>
          </w:tcPr>
          <w:p w14:paraId="1E86F838"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39 200 000</w:t>
            </w:r>
          </w:p>
        </w:tc>
        <w:tc>
          <w:tcPr>
            <w:tcW w:w="2196" w:type="dxa"/>
            <w:tcBorders>
              <w:top w:val="nil"/>
              <w:left w:val="nil"/>
              <w:bottom w:val="single" w:sz="4" w:space="0" w:color="auto"/>
              <w:right w:val="single" w:sz="4" w:space="0" w:color="auto"/>
            </w:tcBorders>
            <w:shd w:val="clear" w:color="auto" w:fill="auto"/>
            <w:noWrap/>
            <w:vAlign w:val="center"/>
            <w:hideMark/>
          </w:tcPr>
          <w:p w14:paraId="3AED379D"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397B4F83"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1 000 000</w:t>
            </w:r>
          </w:p>
        </w:tc>
      </w:tr>
      <w:tr w:rsidR="004D7895" w:rsidRPr="004D7895" w14:paraId="6DDB363F" w14:textId="77777777" w:rsidTr="004D7895">
        <w:trPr>
          <w:trHeight w:val="32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6341CFCA"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i:</w:t>
            </w:r>
            <w:proofErr w:type="gramEnd"/>
            <w:r w:rsidRPr="004D7895">
              <w:rPr>
                <w:rFonts w:ascii="Times New Roman" w:eastAsia="Times New Roman" w:hAnsi="Times New Roman" w:cs="Times New Roman"/>
                <w:b/>
                <w:bCs/>
                <w:i/>
                <w:iCs/>
                <w:color w:val="000000"/>
                <w:lang w:val="fr-FR" w:eastAsia="fr-FR"/>
              </w:rPr>
              <w:t xml:space="preserve"> Politique de genre</w:t>
            </w:r>
          </w:p>
        </w:tc>
        <w:tc>
          <w:tcPr>
            <w:tcW w:w="1629" w:type="dxa"/>
            <w:tcBorders>
              <w:top w:val="nil"/>
              <w:left w:val="nil"/>
              <w:bottom w:val="single" w:sz="4" w:space="0" w:color="auto"/>
              <w:right w:val="single" w:sz="4" w:space="0" w:color="auto"/>
            </w:tcBorders>
            <w:shd w:val="clear" w:color="auto" w:fill="auto"/>
            <w:noWrap/>
            <w:vAlign w:val="center"/>
            <w:hideMark/>
          </w:tcPr>
          <w:p w14:paraId="6ECD5584"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10 000</w:t>
            </w:r>
          </w:p>
        </w:tc>
        <w:tc>
          <w:tcPr>
            <w:tcW w:w="1915" w:type="dxa"/>
            <w:tcBorders>
              <w:top w:val="nil"/>
              <w:left w:val="nil"/>
              <w:bottom w:val="single" w:sz="4" w:space="0" w:color="auto"/>
              <w:right w:val="single" w:sz="4" w:space="0" w:color="auto"/>
            </w:tcBorders>
            <w:shd w:val="clear" w:color="auto" w:fill="auto"/>
            <w:noWrap/>
            <w:vAlign w:val="center"/>
            <w:hideMark/>
          </w:tcPr>
          <w:p w14:paraId="5656A0B0"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5 600 000</w:t>
            </w:r>
          </w:p>
        </w:tc>
        <w:tc>
          <w:tcPr>
            <w:tcW w:w="2196" w:type="dxa"/>
            <w:tcBorders>
              <w:top w:val="nil"/>
              <w:left w:val="nil"/>
              <w:bottom w:val="single" w:sz="4" w:space="0" w:color="auto"/>
              <w:right w:val="single" w:sz="4" w:space="0" w:color="auto"/>
            </w:tcBorders>
            <w:shd w:val="clear" w:color="auto" w:fill="auto"/>
            <w:noWrap/>
            <w:vAlign w:val="center"/>
            <w:hideMark/>
          </w:tcPr>
          <w:p w14:paraId="545F63F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6A8AE760"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500 000</w:t>
            </w:r>
          </w:p>
        </w:tc>
      </w:tr>
      <w:tr w:rsidR="004D7895" w:rsidRPr="004D7895" w14:paraId="324B4E29" w14:textId="77777777" w:rsidTr="004D7895">
        <w:trPr>
          <w:trHeight w:val="555"/>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0DBD1011"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j:</w:t>
            </w:r>
            <w:proofErr w:type="gramEnd"/>
            <w:r w:rsidRPr="004D7895">
              <w:rPr>
                <w:rFonts w:ascii="Times New Roman" w:eastAsia="Times New Roman" w:hAnsi="Times New Roman" w:cs="Times New Roman"/>
                <w:b/>
                <w:bCs/>
                <w:i/>
                <w:iCs/>
                <w:color w:val="000000"/>
                <w:lang w:val="fr-FR" w:eastAsia="fr-FR"/>
              </w:rPr>
              <w:t xml:space="preserve"> Accréditation et certification du centre</w:t>
            </w:r>
          </w:p>
        </w:tc>
        <w:tc>
          <w:tcPr>
            <w:tcW w:w="1629" w:type="dxa"/>
            <w:tcBorders>
              <w:top w:val="nil"/>
              <w:left w:val="nil"/>
              <w:bottom w:val="single" w:sz="4" w:space="0" w:color="auto"/>
              <w:right w:val="single" w:sz="4" w:space="0" w:color="auto"/>
            </w:tcBorders>
            <w:shd w:val="clear" w:color="auto" w:fill="auto"/>
            <w:noWrap/>
            <w:vAlign w:val="center"/>
            <w:hideMark/>
          </w:tcPr>
          <w:p w14:paraId="291E1559"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105 000</w:t>
            </w:r>
          </w:p>
        </w:tc>
        <w:tc>
          <w:tcPr>
            <w:tcW w:w="1915" w:type="dxa"/>
            <w:tcBorders>
              <w:top w:val="nil"/>
              <w:left w:val="nil"/>
              <w:bottom w:val="single" w:sz="4" w:space="0" w:color="auto"/>
              <w:right w:val="single" w:sz="4" w:space="0" w:color="auto"/>
            </w:tcBorders>
            <w:shd w:val="clear" w:color="auto" w:fill="auto"/>
            <w:noWrap/>
            <w:vAlign w:val="center"/>
            <w:hideMark/>
          </w:tcPr>
          <w:p w14:paraId="0225C184"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58 800 000</w:t>
            </w:r>
          </w:p>
        </w:tc>
        <w:tc>
          <w:tcPr>
            <w:tcW w:w="2196" w:type="dxa"/>
            <w:tcBorders>
              <w:top w:val="nil"/>
              <w:left w:val="nil"/>
              <w:bottom w:val="single" w:sz="4" w:space="0" w:color="auto"/>
              <w:right w:val="single" w:sz="4" w:space="0" w:color="auto"/>
            </w:tcBorders>
            <w:shd w:val="clear" w:color="auto" w:fill="auto"/>
            <w:noWrap/>
            <w:vAlign w:val="center"/>
            <w:hideMark/>
          </w:tcPr>
          <w:p w14:paraId="7D7D91A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554AD146"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4 000 000</w:t>
            </w:r>
          </w:p>
        </w:tc>
      </w:tr>
      <w:tr w:rsidR="004D7895" w:rsidRPr="004D7895" w14:paraId="2730D760" w14:textId="77777777" w:rsidTr="004D7895">
        <w:trPr>
          <w:trHeight w:val="32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0E024BAC"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k:</w:t>
            </w:r>
            <w:proofErr w:type="gramEnd"/>
            <w:r w:rsidRPr="004D7895">
              <w:rPr>
                <w:rFonts w:ascii="Times New Roman" w:eastAsia="Times New Roman" w:hAnsi="Times New Roman" w:cs="Times New Roman"/>
                <w:b/>
                <w:bCs/>
                <w:i/>
                <w:iCs/>
                <w:color w:val="000000"/>
                <w:lang w:val="fr-FR" w:eastAsia="fr-FR"/>
              </w:rPr>
              <w:t xml:space="preserve"> Voyages/Missions</w:t>
            </w:r>
          </w:p>
        </w:tc>
        <w:tc>
          <w:tcPr>
            <w:tcW w:w="1629" w:type="dxa"/>
            <w:tcBorders>
              <w:top w:val="nil"/>
              <w:left w:val="nil"/>
              <w:bottom w:val="single" w:sz="4" w:space="0" w:color="auto"/>
              <w:right w:val="single" w:sz="4" w:space="0" w:color="auto"/>
            </w:tcBorders>
            <w:shd w:val="clear" w:color="auto" w:fill="auto"/>
            <w:noWrap/>
            <w:vAlign w:val="center"/>
            <w:hideMark/>
          </w:tcPr>
          <w:p w14:paraId="091DB19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55 000</w:t>
            </w:r>
          </w:p>
        </w:tc>
        <w:tc>
          <w:tcPr>
            <w:tcW w:w="1915" w:type="dxa"/>
            <w:tcBorders>
              <w:top w:val="nil"/>
              <w:left w:val="nil"/>
              <w:bottom w:val="single" w:sz="4" w:space="0" w:color="auto"/>
              <w:right w:val="single" w:sz="4" w:space="0" w:color="auto"/>
            </w:tcBorders>
            <w:shd w:val="clear" w:color="auto" w:fill="auto"/>
            <w:noWrap/>
            <w:vAlign w:val="center"/>
            <w:hideMark/>
          </w:tcPr>
          <w:p w14:paraId="5333D3B6"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30 800 000</w:t>
            </w:r>
          </w:p>
        </w:tc>
        <w:tc>
          <w:tcPr>
            <w:tcW w:w="2196" w:type="dxa"/>
            <w:tcBorders>
              <w:top w:val="nil"/>
              <w:left w:val="nil"/>
              <w:bottom w:val="single" w:sz="4" w:space="0" w:color="auto"/>
              <w:right w:val="single" w:sz="4" w:space="0" w:color="auto"/>
            </w:tcBorders>
            <w:shd w:val="clear" w:color="auto" w:fill="auto"/>
            <w:noWrap/>
            <w:vAlign w:val="center"/>
            <w:hideMark/>
          </w:tcPr>
          <w:p w14:paraId="064DDABE"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auto" w:fill="auto"/>
            <w:noWrap/>
            <w:vAlign w:val="center"/>
            <w:hideMark/>
          </w:tcPr>
          <w:p w14:paraId="73CD5488"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5 000 000</w:t>
            </w:r>
          </w:p>
        </w:tc>
      </w:tr>
      <w:tr w:rsidR="004D7895" w:rsidRPr="004D7895" w14:paraId="4333DA0A" w14:textId="77777777" w:rsidTr="004D7895">
        <w:trPr>
          <w:trHeight w:val="640"/>
        </w:trPr>
        <w:tc>
          <w:tcPr>
            <w:tcW w:w="5804" w:type="dxa"/>
            <w:tcBorders>
              <w:top w:val="nil"/>
              <w:left w:val="single" w:sz="4" w:space="0" w:color="auto"/>
              <w:bottom w:val="single" w:sz="4" w:space="0" w:color="auto"/>
              <w:right w:val="single" w:sz="4" w:space="0" w:color="auto"/>
            </w:tcBorders>
            <w:shd w:val="clear" w:color="000000" w:fill="auto"/>
            <w:vAlign w:val="center"/>
            <w:hideMark/>
          </w:tcPr>
          <w:p w14:paraId="17C33BFE"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lastRenderedPageBreak/>
              <w:t>Sous-Action 1</w:t>
            </w:r>
            <w:proofErr w:type="gramStart"/>
            <w:r w:rsidRPr="004D7895">
              <w:rPr>
                <w:rFonts w:ascii="Times New Roman" w:eastAsia="Times New Roman" w:hAnsi="Times New Roman" w:cs="Times New Roman"/>
                <w:b/>
                <w:bCs/>
                <w:i/>
                <w:iCs/>
                <w:color w:val="000000"/>
                <w:lang w:val="fr-FR" w:eastAsia="fr-FR"/>
              </w:rPr>
              <w:t>l:</w:t>
            </w:r>
            <w:proofErr w:type="gramEnd"/>
            <w:r w:rsidRPr="004D7895">
              <w:rPr>
                <w:rFonts w:ascii="Times New Roman" w:eastAsia="Times New Roman" w:hAnsi="Times New Roman" w:cs="Times New Roman"/>
                <w:b/>
                <w:bCs/>
                <w:i/>
                <w:iCs/>
                <w:color w:val="000000"/>
                <w:lang w:val="fr-FR" w:eastAsia="fr-FR"/>
              </w:rPr>
              <w:t xml:space="preserve"> Travaux de génie civile et équipement liés à la formation/DLI4.3</w:t>
            </w:r>
          </w:p>
        </w:tc>
        <w:tc>
          <w:tcPr>
            <w:tcW w:w="1629" w:type="dxa"/>
            <w:tcBorders>
              <w:top w:val="nil"/>
              <w:left w:val="nil"/>
              <w:bottom w:val="single" w:sz="4" w:space="0" w:color="auto"/>
              <w:right w:val="single" w:sz="4" w:space="0" w:color="auto"/>
            </w:tcBorders>
            <w:shd w:val="clear" w:color="000000" w:fill="auto"/>
            <w:noWrap/>
            <w:vAlign w:val="center"/>
            <w:hideMark/>
          </w:tcPr>
          <w:p w14:paraId="37E14901"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570 000</w:t>
            </w:r>
          </w:p>
        </w:tc>
        <w:tc>
          <w:tcPr>
            <w:tcW w:w="1915" w:type="dxa"/>
            <w:tcBorders>
              <w:top w:val="nil"/>
              <w:left w:val="nil"/>
              <w:bottom w:val="single" w:sz="4" w:space="0" w:color="auto"/>
              <w:right w:val="single" w:sz="4" w:space="0" w:color="auto"/>
            </w:tcBorders>
            <w:shd w:val="clear" w:color="000000" w:fill="auto"/>
            <w:noWrap/>
            <w:vAlign w:val="center"/>
            <w:hideMark/>
          </w:tcPr>
          <w:p w14:paraId="58BA7B03"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319 200 000</w:t>
            </w:r>
          </w:p>
        </w:tc>
        <w:tc>
          <w:tcPr>
            <w:tcW w:w="2196" w:type="dxa"/>
            <w:tcBorders>
              <w:top w:val="nil"/>
              <w:left w:val="nil"/>
              <w:bottom w:val="single" w:sz="4" w:space="0" w:color="auto"/>
              <w:right w:val="single" w:sz="4" w:space="0" w:color="auto"/>
            </w:tcBorders>
            <w:shd w:val="clear" w:color="000000" w:fill="auto"/>
            <w:noWrap/>
            <w:vAlign w:val="center"/>
            <w:hideMark/>
          </w:tcPr>
          <w:p w14:paraId="050DFF28"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2 827 500</w:t>
            </w:r>
          </w:p>
        </w:tc>
        <w:tc>
          <w:tcPr>
            <w:tcW w:w="2693" w:type="dxa"/>
            <w:tcBorders>
              <w:top w:val="nil"/>
              <w:left w:val="nil"/>
              <w:bottom w:val="single" w:sz="4" w:space="0" w:color="auto"/>
              <w:right w:val="single" w:sz="4" w:space="0" w:color="auto"/>
            </w:tcBorders>
            <w:shd w:val="clear" w:color="000000" w:fill="auto"/>
            <w:noWrap/>
            <w:vAlign w:val="center"/>
            <w:hideMark/>
          </w:tcPr>
          <w:p w14:paraId="05024593"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150 000 000</w:t>
            </w:r>
          </w:p>
        </w:tc>
      </w:tr>
      <w:tr w:rsidR="004D7895" w:rsidRPr="004D7895" w14:paraId="67BF9E69" w14:textId="77777777" w:rsidTr="004D7895">
        <w:trPr>
          <w:trHeight w:val="320"/>
        </w:trPr>
        <w:tc>
          <w:tcPr>
            <w:tcW w:w="5804" w:type="dxa"/>
            <w:tcBorders>
              <w:top w:val="nil"/>
              <w:left w:val="single" w:sz="4" w:space="0" w:color="auto"/>
              <w:bottom w:val="single" w:sz="4" w:space="0" w:color="auto"/>
              <w:right w:val="single" w:sz="4" w:space="0" w:color="auto"/>
            </w:tcBorders>
            <w:shd w:val="clear" w:color="000000" w:fill="auto"/>
            <w:vAlign w:val="center"/>
            <w:hideMark/>
          </w:tcPr>
          <w:p w14:paraId="37408FF8"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m:</w:t>
            </w:r>
            <w:proofErr w:type="gramEnd"/>
            <w:r w:rsidRPr="004D7895">
              <w:rPr>
                <w:rFonts w:ascii="Times New Roman" w:eastAsia="Times New Roman" w:hAnsi="Times New Roman" w:cs="Times New Roman"/>
                <w:b/>
                <w:bCs/>
                <w:i/>
                <w:iCs/>
                <w:color w:val="000000"/>
                <w:lang w:val="fr-FR" w:eastAsia="fr-FR"/>
              </w:rPr>
              <w:t xml:space="preserve"> Impact institutionnel</w:t>
            </w:r>
          </w:p>
        </w:tc>
        <w:tc>
          <w:tcPr>
            <w:tcW w:w="1629" w:type="dxa"/>
            <w:tcBorders>
              <w:top w:val="nil"/>
              <w:left w:val="nil"/>
              <w:bottom w:val="single" w:sz="4" w:space="0" w:color="auto"/>
              <w:right w:val="single" w:sz="4" w:space="0" w:color="auto"/>
            </w:tcBorders>
            <w:shd w:val="clear" w:color="000000" w:fill="auto"/>
            <w:noWrap/>
            <w:vAlign w:val="center"/>
            <w:hideMark/>
          </w:tcPr>
          <w:p w14:paraId="42DFEAD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294 000</w:t>
            </w:r>
          </w:p>
        </w:tc>
        <w:tc>
          <w:tcPr>
            <w:tcW w:w="1915" w:type="dxa"/>
            <w:tcBorders>
              <w:top w:val="nil"/>
              <w:left w:val="nil"/>
              <w:bottom w:val="single" w:sz="4" w:space="0" w:color="auto"/>
              <w:right w:val="single" w:sz="4" w:space="0" w:color="auto"/>
            </w:tcBorders>
            <w:shd w:val="clear" w:color="000000" w:fill="auto"/>
            <w:noWrap/>
            <w:vAlign w:val="center"/>
            <w:hideMark/>
          </w:tcPr>
          <w:p w14:paraId="23423552"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164 640 000</w:t>
            </w:r>
          </w:p>
        </w:tc>
        <w:tc>
          <w:tcPr>
            <w:tcW w:w="2196" w:type="dxa"/>
            <w:tcBorders>
              <w:top w:val="nil"/>
              <w:left w:val="nil"/>
              <w:bottom w:val="single" w:sz="4" w:space="0" w:color="auto"/>
              <w:right w:val="single" w:sz="4" w:space="0" w:color="auto"/>
            </w:tcBorders>
            <w:shd w:val="clear" w:color="000000" w:fill="auto"/>
            <w:noWrap/>
            <w:vAlign w:val="center"/>
            <w:hideMark/>
          </w:tcPr>
          <w:p w14:paraId="3E044921"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000000" w:fill="auto"/>
            <w:noWrap/>
            <w:vAlign w:val="center"/>
            <w:hideMark/>
          </w:tcPr>
          <w:p w14:paraId="4576559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r>
      <w:tr w:rsidR="004D7895" w:rsidRPr="004D7895" w14:paraId="34F6CE1E" w14:textId="77777777" w:rsidTr="004D7895">
        <w:trPr>
          <w:trHeight w:val="320"/>
        </w:trPr>
        <w:tc>
          <w:tcPr>
            <w:tcW w:w="5804" w:type="dxa"/>
            <w:tcBorders>
              <w:top w:val="nil"/>
              <w:left w:val="single" w:sz="4" w:space="0" w:color="auto"/>
              <w:bottom w:val="single" w:sz="4" w:space="0" w:color="auto"/>
              <w:right w:val="single" w:sz="4" w:space="0" w:color="auto"/>
            </w:tcBorders>
            <w:shd w:val="clear" w:color="000000" w:fill="9BC2E6"/>
            <w:noWrap/>
            <w:vAlign w:val="center"/>
            <w:hideMark/>
          </w:tcPr>
          <w:p w14:paraId="3D2D0054" w14:textId="77777777" w:rsidR="004D7895" w:rsidRPr="004D7895" w:rsidRDefault="004D7895" w:rsidP="004D7895">
            <w:pPr>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 xml:space="preserve">Action </w:t>
            </w:r>
            <w:proofErr w:type="gramStart"/>
            <w:r w:rsidRPr="004D7895">
              <w:rPr>
                <w:rFonts w:ascii="Times New Roman" w:eastAsia="Times New Roman" w:hAnsi="Times New Roman" w:cs="Times New Roman"/>
                <w:b/>
                <w:bCs/>
                <w:color w:val="000000"/>
                <w:lang w:val="fr-FR" w:eastAsia="fr-FR"/>
              </w:rPr>
              <w:t>2:</w:t>
            </w:r>
            <w:proofErr w:type="gramEnd"/>
            <w:r w:rsidRPr="004D7895">
              <w:rPr>
                <w:rFonts w:ascii="Times New Roman" w:eastAsia="Times New Roman" w:hAnsi="Times New Roman" w:cs="Times New Roman"/>
                <w:b/>
                <w:bCs/>
                <w:color w:val="000000"/>
                <w:lang w:val="fr-FR" w:eastAsia="fr-FR"/>
              </w:rPr>
              <w:t xml:space="preserve"> RECHERCHE \DLI1 - DLI4.2 - DLI5.2</w:t>
            </w:r>
          </w:p>
        </w:tc>
        <w:tc>
          <w:tcPr>
            <w:tcW w:w="1629" w:type="dxa"/>
            <w:tcBorders>
              <w:top w:val="nil"/>
              <w:left w:val="nil"/>
              <w:bottom w:val="single" w:sz="4" w:space="0" w:color="auto"/>
              <w:right w:val="single" w:sz="4" w:space="0" w:color="auto"/>
            </w:tcBorders>
            <w:shd w:val="clear" w:color="000000" w:fill="9BC2E6"/>
            <w:noWrap/>
            <w:vAlign w:val="center"/>
            <w:hideMark/>
          </w:tcPr>
          <w:p w14:paraId="02727CB9"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985 000</w:t>
            </w:r>
          </w:p>
        </w:tc>
        <w:tc>
          <w:tcPr>
            <w:tcW w:w="1915" w:type="dxa"/>
            <w:tcBorders>
              <w:top w:val="nil"/>
              <w:left w:val="nil"/>
              <w:bottom w:val="single" w:sz="4" w:space="0" w:color="auto"/>
              <w:right w:val="single" w:sz="4" w:space="0" w:color="auto"/>
            </w:tcBorders>
            <w:shd w:val="clear" w:color="000000" w:fill="9BC2E6"/>
            <w:noWrap/>
            <w:vAlign w:val="center"/>
            <w:hideMark/>
          </w:tcPr>
          <w:p w14:paraId="7D276F63"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551 600 000</w:t>
            </w:r>
          </w:p>
        </w:tc>
        <w:tc>
          <w:tcPr>
            <w:tcW w:w="2196" w:type="dxa"/>
            <w:tcBorders>
              <w:top w:val="nil"/>
              <w:left w:val="nil"/>
              <w:bottom w:val="single" w:sz="4" w:space="0" w:color="auto"/>
              <w:right w:val="single" w:sz="4" w:space="0" w:color="auto"/>
            </w:tcBorders>
            <w:shd w:val="clear" w:color="000000" w:fill="9BC2E6"/>
            <w:noWrap/>
            <w:vAlign w:val="center"/>
            <w:hideMark/>
          </w:tcPr>
          <w:p w14:paraId="6CE93348"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1 020 500</w:t>
            </w:r>
          </w:p>
        </w:tc>
        <w:tc>
          <w:tcPr>
            <w:tcW w:w="2693" w:type="dxa"/>
            <w:tcBorders>
              <w:top w:val="nil"/>
              <w:left w:val="nil"/>
              <w:bottom w:val="single" w:sz="4" w:space="0" w:color="auto"/>
              <w:right w:val="single" w:sz="4" w:space="0" w:color="auto"/>
            </w:tcBorders>
            <w:shd w:val="clear" w:color="000000" w:fill="9BC2E6"/>
            <w:noWrap/>
            <w:vAlign w:val="center"/>
            <w:hideMark/>
          </w:tcPr>
          <w:p w14:paraId="49614DE9"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167 500 000</w:t>
            </w:r>
          </w:p>
        </w:tc>
      </w:tr>
      <w:tr w:rsidR="004D7895" w:rsidRPr="004D7895" w14:paraId="560C9417" w14:textId="77777777" w:rsidTr="004D7895">
        <w:trPr>
          <w:trHeight w:val="320"/>
        </w:trPr>
        <w:tc>
          <w:tcPr>
            <w:tcW w:w="5804" w:type="dxa"/>
            <w:tcBorders>
              <w:top w:val="nil"/>
              <w:left w:val="single" w:sz="4" w:space="0" w:color="auto"/>
              <w:bottom w:val="single" w:sz="4" w:space="0" w:color="auto"/>
              <w:right w:val="single" w:sz="4" w:space="0" w:color="auto"/>
            </w:tcBorders>
            <w:shd w:val="clear" w:color="000000" w:fill="auto"/>
            <w:vAlign w:val="center"/>
            <w:hideMark/>
          </w:tcPr>
          <w:p w14:paraId="7B4E3301"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2</w:t>
            </w:r>
            <w:proofErr w:type="gramStart"/>
            <w:r w:rsidRPr="004D7895">
              <w:rPr>
                <w:rFonts w:ascii="Times New Roman" w:eastAsia="Times New Roman" w:hAnsi="Times New Roman" w:cs="Times New Roman"/>
                <w:b/>
                <w:bCs/>
                <w:i/>
                <w:iCs/>
                <w:color w:val="000000"/>
                <w:lang w:val="fr-FR" w:eastAsia="fr-FR"/>
              </w:rPr>
              <w:t>a:</w:t>
            </w:r>
            <w:proofErr w:type="gramEnd"/>
            <w:r w:rsidRPr="004D7895">
              <w:rPr>
                <w:rFonts w:ascii="Times New Roman" w:eastAsia="Times New Roman" w:hAnsi="Times New Roman" w:cs="Times New Roman"/>
                <w:b/>
                <w:bCs/>
                <w:i/>
                <w:iCs/>
                <w:color w:val="000000"/>
                <w:lang w:val="fr-FR" w:eastAsia="fr-FR"/>
              </w:rPr>
              <w:t xml:space="preserve"> Renforcement des capacités de recherche</w:t>
            </w:r>
          </w:p>
        </w:tc>
        <w:tc>
          <w:tcPr>
            <w:tcW w:w="1629" w:type="dxa"/>
            <w:tcBorders>
              <w:top w:val="nil"/>
              <w:left w:val="nil"/>
              <w:bottom w:val="single" w:sz="4" w:space="0" w:color="auto"/>
              <w:right w:val="single" w:sz="4" w:space="0" w:color="auto"/>
            </w:tcBorders>
            <w:shd w:val="clear" w:color="000000" w:fill="auto"/>
            <w:noWrap/>
            <w:vAlign w:val="center"/>
            <w:hideMark/>
          </w:tcPr>
          <w:p w14:paraId="0207B2F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30 000</w:t>
            </w:r>
          </w:p>
        </w:tc>
        <w:tc>
          <w:tcPr>
            <w:tcW w:w="1915" w:type="dxa"/>
            <w:tcBorders>
              <w:top w:val="nil"/>
              <w:left w:val="nil"/>
              <w:bottom w:val="single" w:sz="4" w:space="0" w:color="auto"/>
              <w:right w:val="single" w:sz="4" w:space="0" w:color="auto"/>
            </w:tcBorders>
            <w:shd w:val="clear" w:color="000000" w:fill="auto"/>
            <w:noWrap/>
            <w:vAlign w:val="center"/>
            <w:hideMark/>
          </w:tcPr>
          <w:p w14:paraId="7C695C1C"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16 800 000</w:t>
            </w:r>
          </w:p>
        </w:tc>
        <w:tc>
          <w:tcPr>
            <w:tcW w:w="2196" w:type="dxa"/>
            <w:tcBorders>
              <w:top w:val="nil"/>
              <w:left w:val="nil"/>
              <w:bottom w:val="single" w:sz="4" w:space="0" w:color="auto"/>
              <w:right w:val="single" w:sz="4" w:space="0" w:color="auto"/>
            </w:tcBorders>
            <w:shd w:val="clear" w:color="000000" w:fill="auto"/>
            <w:noWrap/>
            <w:vAlign w:val="center"/>
            <w:hideMark/>
          </w:tcPr>
          <w:p w14:paraId="70FF88B8"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000000" w:fill="auto"/>
            <w:noWrap/>
            <w:vAlign w:val="center"/>
            <w:hideMark/>
          </w:tcPr>
          <w:p w14:paraId="162CF701"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7 000 000</w:t>
            </w:r>
          </w:p>
        </w:tc>
      </w:tr>
      <w:tr w:rsidR="004D7895" w:rsidRPr="004D7895" w14:paraId="24E29F92" w14:textId="77777777" w:rsidTr="004D7895">
        <w:trPr>
          <w:trHeight w:val="320"/>
        </w:trPr>
        <w:tc>
          <w:tcPr>
            <w:tcW w:w="5804" w:type="dxa"/>
            <w:tcBorders>
              <w:top w:val="nil"/>
              <w:left w:val="single" w:sz="4" w:space="0" w:color="auto"/>
              <w:bottom w:val="single" w:sz="4" w:space="0" w:color="auto"/>
              <w:right w:val="single" w:sz="4" w:space="0" w:color="auto"/>
            </w:tcBorders>
            <w:shd w:val="clear" w:color="000000" w:fill="auto"/>
            <w:vAlign w:val="center"/>
            <w:hideMark/>
          </w:tcPr>
          <w:p w14:paraId="3B9A0F12"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2</w:t>
            </w:r>
            <w:proofErr w:type="gramStart"/>
            <w:r w:rsidRPr="004D7895">
              <w:rPr>
                <w:rFonts w:ascii="Times New Roman" w:eastAsia="Times New Roman" w:hAnsi="Times New Roman" w:cs="Times New Roman"/>
                <w:b/>
                <w:bCs/>
                <w:i/>
                <w:iCs/>
                <w:color w:val="000000"/>
                <w:lang w:val="fr-FR" w:eastAsia="fr-FR"/>
              </w:rPr>
              <w:t>b:</w:t>
            </w:r>
            <w:proofErr w:type="gramEnd"/>
            <w:r w:rsidRPr="004D7895">
              <w:rPr>
                <w:rFonts w:ascii="Times New Roman" w:eastAsia="Times New Roman" w:hAnsi="Times New Roman" w:cs="Times New Roman"/>
                <w:b/>
                <w:bCs/>
                <w:i/>
                <w:iCs/>
                <w:color w:val="000000"/>
                <w:lang w:val="fr-FR" w:eastAsia="fr-FR"/>
              </w:rPr>
              <w:t xml:space="preserve"> Gestion des projets de recherche</w:t>
            </w:r>
          </w:p>
        </w:tc>
        <w:tc>
          <w:tcPr>
            <w:tcW w:w="1629" w:type="dxa"/>
            <w:tcBorders>
              <w:top w:val="nil"/>
              <w:left w:val="nil"/>
              <w:bottom w:val="single" w:sz="4" w:space="0" w:color="auto"/>
              <w:right w:val="single" w:sz="4" w:space="0" w:color="auto"/>
            </w:tcBorders>
            <w:shd w:val="clear" w:color="000000" w:fill="auto"/>
            <w:noWrap/>
            <w:vAlign w:val="center"/>
            <w:hideMark/>
          </w:tcPr>
          <w:p w14:paraId="204101C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510 000</w:t>
            </w:r>
          </w:p>
        </w:tc>
        <w:tc>
          <w:tcPr>
            <w:tcW w:w="1915" w:type="dxa"/>
            <w:tcBorders>
              <w:top w:val="nil"/>
              <w:left w:val="nil"/>
              <w:bottom w:val="single" w:sz="4" w:space="0" w:color="auto"/>
              <w:right w:val="single" w:sz="4" w:space="0" w:color="auto"/>
            </w:tcBorders>
            <w:shd w:val="clear" w:color="000000" w:fill="auto"/>
            <w:noWrap/>
            <w:vAlign w:val="center"/>
            <w:hideMark/>
          </w:tcPr>
          <w:p w14:paraId="78EDF9C5"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285 600 000</w:t>
            </w:r>
          </w:p>
        </w:tc>
        <w:tc>
          <w:tcPr>
            <w:tcW w:w="2196" w:type="dxa"/>
            <w:tcBorders>
              <w:top w:val="nil"/>
              <w:left w:val="nil"/>
              <w:bottom w:val="single" w:sz="4" w:space="0" w:color="auto"/>
              <w:right w:val="single" w:sz="4" w:space="0" w:color="auto"/>
            </w:tcBorders>
            <w:shd w:val="clear" w:color="000000" w:fill="auto"/>
            <w:noWrap/>
            <w:vAlign w:val="center"/>
            <w:hideMark/>
          </w:tcPr>
          <w:p w14:paraId="5C93E989"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100 000</w:t>
            </w:r>
          </w:p>
        </w:tc>
        <w:tc>
          <w:tcPr>
            <w:tcW w:w="2693" w:type="dxa"/>
            <w:tcBorders>
              <w:top w:val="nil"/>
              <w:left w:val="nil"/>
              <w:bottom w:val="single" w:sz="4" w:space="0" w:color="auto"/>
              <w:right w:val="single" w:sz="4" w:space="0" w:color="auto"/>
            </w:tcBorders>
            <w:shd w:val="clear" w:color="000000" w:fill="auto"/>
            <w:noWrap/>
            <w:vAlign w:val="center"/>
            <w:hideMark/>
          </w:tcPr>
          <w:p w14:paraId="3173070F"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80 000 000</w:t>
            </w:r>
          </w:p>
        </w:tc>
      </w:tr>
      <w:tr w:rsidR="004D7895" w:rsidRPr="004D7895" w14:paraId="758125ED" w14:textId="77777777" w:rsidTr="004D7895">
        <w:trPr>
          <w:trHeight w:val="320"/>
        </w:trPr>
        <w:tc>
          <w:tcPr>
            <w:tcW w:w="5804" w:type="dxa"/>
            <w:tcBorders>
              <w:top w:val="nil"/>
              <w:left w:val="single" w:sz="4" w:space="0" w:color="auto"/>
              <w:bottom w:val="single" w:sz="4" w:space="0" w:color="auto"/>
              <w:right w:val="single" w:sz="4" w:space="0" w:color="auto"/>
            </w:tcBorders>
            <w:shd w:val="clear" w:color="000000" w:fill="auto"/>
            <w:vAlign w:val="center"/>
            <w:hideMark/>
          </w:tcPr>
          <w:p w14:paraId="251064B4"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2</w:t>
            </w:r>
            <w:proofErr w:type="gramStart"/>
            <w:r w:rsidRPr="004D7895">
              <w:rPr>
                <w:rFonts w:ascii="Times New Roman" w:eastAsia="Times New Roman" w:hAnsi="Times New Roman" w:cs="Times New Roman"/>
                <w:b/>
                <w:bCs/>
                <w:i/>
                <w:iCs/>
                <w:color w:val="000000"/>
                <w:lang w:val="fr-FR" w:eastAsia="fr-FR"/>
              </w:rPr>
              <w:t>c:</w:t>
            </w:r>
            <w:proofErr w:type="gramEnd"/>
            <w:r w:rsidRPr="004D7895">
              <w:rPr>
                <w:rFonts w:ascii="Times New Roman" w:eastAsia="Times New Roman" w:hAnsi="Times New Roman" w:cs="Times New Roman"/>
                <w:b/>
                <w:bCs/>
                <w:i/>
                <w:iCs/>
                <w:color w:val="000000"/>
                <w:lang w:val="fr-FR" w:eastAsia="fr-FR"/>
              </w:rPr>
              <w:t xml:space="preserve"> Dissémination des résultats de recherche</w:t>
            </w:r>
          </w:p>
        </w:tc>
        <w:tc>
          <w:tcPr>
            <w:tcW w:w="1629" w:type="dxa"/>
            <w:tcBorders>
              <w:top w:val="nil"/>
              <w:left w:val="nil"/>
              <w:bottom w:val="single" w:sz="4" w:space="0" w:color="auto"/>
              <w:right w:val="single" w:sz="4" w:space="0" w:color="auto"/>
            </w:tcBorders>
            <w:shd w:val="clear" w:color="000000" w:fill="auto"/>
            <w:noWrap/>
            <w:vAlign w:val="center"/>
            <w:hideMark/>
          </w:tcPr>
          <w:p w14:paraId="00F41DDE"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45 000</w:t>
            </w:r>
          </w:p>
        </w:tc>
        <w:tc>
          <w:tcPr>
            <w:tcW w:w="1915" w:type="dxa"/>
            <w:tcBorders>
              <w:top w:val="nil"/>
              <w:left w:val="nil"/>
              <w:bottom w:val="single" w:sz="4" w:space="0" w:color="auto"/>
              <w:right w:val="single" w:sz="4" w:space="0" w:color="auto"/>
            </w:tcBorders>
            <w:shd w:val="clear" w:color="000000" w:fill="auto"/>
            <w:noWrap/>
            <w:vAlign w:val="center"/>
            <w:hideMark/>
          </w:tcPr>
          <w:p w14:paraId="302A8446"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25 200 000</w:t>
            </w:r>
          </w:p>
        </w:tc>
        <w:tc>
          <w:tcPr>
            <w:tcW w:w="2196" w:type="dxa"/>
            <w:tcBorders>
              <w:top w:val="nil"/>
              <w:left w:val="nil"/>
              <w:bottom w:val="single" w:sz="4" w:space="0" w:color="auto"/>
              <w:right w:val="single" w:sz="4" w:space="0" w:color="auto"/>
            </w:tcBorders>
            <w:shd w:val="clear" w:color="000000" w:fill="auto"/>
            <w:noWrap/>
            <w:vAlign w:val="center"/>
            <w:hideMark/>
          </w:tcPr>
          <w:p w14:paraId="6A2134DD"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920 500</w:t>
            </w:r>
          </w:p>
        </w:tc>
        <w:tc>
          <w:tcPr>
            <w:tcW w:w="2693" w:type="dxa"/>
            <w:tcBorders>
              <w:top w:val="nil"/>
              <w:left w:val="nil"/>
              <w:bottom w:val="single" w:sz="4" w:space="0" w:color="auto"/>
              <w:right w:val="single" w:sz="4" w:space="0" w:color="auto"/>
            </w:tcBorders>
            <w:shd w:val="clear" w:color="000000" w:fill="auto"/>
            <w:noWrap/>
            <w:vAlign w:val="center"/>
            <w:hideMark/>
          </w:tcPr>
          <w:p w14:paraId="16F5F9E9"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5 500 000</w:t>
            </w:r>
          </w:p>
        </w:tc>
      </w:tr>
      <w:tr w:rsidR="004D7895" w:rsidRPr="004D7895" w14:paraId="5F57A49D" w14:textId="77777777" w:rsidTr="004D7895">
        <w:trPr>
          <w:trHeight w:val="640"/>
        </w:trPr>
        <w:tc>
          <w:tcPr>
            <w:tcW w:w="5804" w:type="dxa"/>
            <w:tcBorders>
              <w:top w:val="nil"/>
              <w:left w:val="single" w:sz="4" w:space="0" w:color="auto"/>
              <w:bottom w:val="single" w:sz="4" w:space="0" w:color="auto"/>
              <w:right w:val="single" w:sz="4" w:space="0" w:color="auto"/>
            </w:tcBorders>
            <w:shd w:val="clear" w:color="000000" w:fill="auto"/>
            <w:vAlign w:val="center"/>
            <w:hideMark/>
          </w:tcPr>
          <w:p w14:paraId="7698DD78"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1</w:t>
            </w:r>
            <w:proofErr w:type="gramStart"/>
            <w:r w:rsidRPr="004D7895">
              <w:rPr>
                <w:rFonts w:ascii="Times New Roman" w:eastAsia="Times New Roman" w:hAnsi="Times New Roman" w:cs="Times New Roman"/>
                <w:b/>
                <w:bCs/>
                <w:i/>
                <w:iCs/>
                <w:color w:val="000000"/>
                <w:lang w:val="fr-FR" w:eastAsia="fr-FR"/>
              </w:rPr>
              <w:t>l:</w:t>
            </w:r>
            <w:proofErr w:type="gramEnd"/>
            <w:r w:rsidRPr="004D7895">
              <w:rPr>
                <w:rFonts w:ascii="Times New Roman" w:eastAsia="Times New Roman" w:hAnsi="Times New Roman" w:cs="Times New Roman"/>
                <w:b/>
                <w:bCs/>
                <w:i/>
                <w:iCs/>
                <w:color w:val="000000"/>
                <w:lang w:val="fr-FR" w:eastAsia="fr-FR"/>
              </w:rPr>
              <w:t xml:space="preserve"> Travaux de génie civile et équipement liés à la recherche/DLI4.3</w:t>
            </w:r>
          </w:p>
        </w:tc>
        <w:tc>
          <w:tcPr>
            <w:tcW w:w="1629" w:type="dxa"/>
            <w:tcBorders>
              <w:top w:val="nil"/>
              <w:left w:val="nil"/>
              <w:bottom w:val="single" w:sz="4" w:space="0" w:color="auto"/>
              <w:right w:val="single" w:sz="4" w:space="0" w:color="auto"/>
            </w:tcBorders>
            <w:shd w:val="clear" w:color="000000" w:fill="auto"/>
            <w:noWrap/>
            <w:vAlign w:val="center"/>
            <w:hideMark/>
          </w:tcPr>
          <w:p w14:paraId="617545D8"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400 000</w:t>
            </w:r>
          </w:p>
        </w:tc>
        <w:tc>
          <w:tcPr>
            <w:tcW w:w="1915" w:type="dxa"/>
            <w:tcBorders>
              <w:top w:val="nil"/>
              <w:left w:val="nil"/>
              <w:bottom w:val="single" w:sz="4" w:space="0" w:color="auto"/>
              <w:right w:val="single" w:sz="4" w:space="0" w:color="auto"/>
            </w:tcBorders>
            <w:shd w:val="clear" w:color="000000" w:fill="auto"/>
            <w:noWrap/>
            <w:vAlign w:val="center"/>
            <w:hideMark/>
          </w:tcPr>
          <w:p w14:paraId="6B05560B"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224 000 000</w:t>
            </w:r>
          </w:p>
        </w:tc>
        <w:tc>
          <w:tcPr>
            <w:tcW w:w="2196" w:type="dxa"/>
            <w:tcBorders>
              <w:top w:val="nil"/>
              <w:left w:val="nil"/>
              <w:bottom w:val="single" w:sz="4" w:space="0" w:color="auto"/>
              <w:right w:val="single" w:sz="4" w:space="0" w:color="auto"/>
            </w:tcBorders>
            <w:shd w:val="clear" w:color="000000" w:fill="auto"/>
            <w:noWrap/>
            <w:vAlign w:val="center"/>
            <w:hideMark/>
          </w:tcPr>
          <w:p w14:paraId="46C2D763"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0</w:t>
            </w:r>
          </w:p>
        </w:tc>
        <w:tc>
          <w:tcPr>
            <w:tcW w:w="2693" w:type="dxa"/>
            <w:tcBorders>
              <w:top w:val="nil"/>
              <w:left w:val="nil"/>
              <w:bottom w:val="single" w:sz="4" w:space="0" w:color="auto"/>
              <w:right w:val="single" w:sz="4" w:space="0" w:color="auto"/>
            </w:tcBorders>
            <w:shd w:val="clear" w:color="000000" w:fill="auto"/>
            <w:noWrap/>
            <w:vAlign w:val="center"/>
            <w:hideMark/>
          </w:tcPr>
          <w:p w14:paraId="3BCDC051"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75 000 000</w:t>
            </w:r>
          </w:p>
        </w:tc>
      </w:tr>
      <w:tr w:rsidR="004D7895" w:rsidRPr="004D7895" w14:paraId="1BD4D113" w14:textId="77777777" w:rsidTr="004D7895">
        <w:trPr>
          <w:trHeight w:val="347"/>
        </w:trPr>
        <w:tc>
          <w:tcPr>
            <w:tcW w:w="5804" w:type="dxa"/>
            <w:tcBorders>
              <w:top w:val="nil"/>
              <w:left w:val="single" w:sz="4" w:space="0" w:color="auto"/>
              <w:bottom w:val="single" w:sz="4" w:space="0" w:color="auto"/>
              <w:right w:val="single" w:sz="4" w:space="0" w:color="auto"/>
            </w:tcBorders>
            <w:shd w:val="clear" w:color="000000" w:fill="9BC2E6"/>
            <w:noWrap/>
            <w:vAlign w:val="center"/>
            <w:hideMark/>
          </w:tcPr>
          <w:p w14:paraId="4052F5EC" w14:textId="77777777" w:rsidR="004D7895" w:rsidRPr="004D7895" w:rsidRDefault="004D7895" w:rsidP="004D7895">
            <w:pPr>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 xml:space="preserve">Action </w:t>
            </w:r>
            <w:proofErr w:type="gramStart"/>
            <w:r w:rsidRPr="004D7895">
              <w:rPr>
                <w:rFonts w:ascii="Times New Roman" w:eastAsia="Times New Roman" w:hAnsi="Times New Roman" w:cs="Times New Roman"/>
                <w:b/>
                <w:bCs/>
                <w:color w:val="000000"/>
                <w:lang w:val="fr-FR" w:eastAsia="fr-FR"/>
              </w:rPr>
              <w:t>3:</w:t>
            </w:r>
            <w:proofErr w:type="gramEnd"/>
            <w:r w:rsidRPr="004D7895">
              <w:rPr>
                <w:rFonts w:ascii="Times New Roman" w:eastAsia="Times New Roman" w:hAnsi="Times New Roman" w:cs="Times New Roman"/>
                <w:b/>
                <w:bCs/>
                <w:color w:val="000000"/>
                <w:lang w:val="fr-FR" w:eastAsia="fr-FR"/>
              </w:rPr>
              <w:t xml:space="preserve"> PARTENARIAT \DLI1 - DLI7.4</w:t>
            </w:r>
          </w:p>
        </w:tc>
        <w:tc>
          <w:tcPr>
            <w:tcW w:w="1629" w:type="dxa"/>
            <w:tcBorders>
              <w:top w:val="nil"/>
              <w:left w:val="nil"/>
              <w:bottom w:val="single" w:sz="4" w:space="0" w:color="auto"/>
              <w:right w:val="single" w:sz="4" w:space="0" w:color="auto"/>
            </w:tcBorders>
            <w:shd w:val="clear" w:color="000000" w:fill="9BC2E6"/>
            <w:noWrap/>
            <w:vAlign w:val="center"/>
            <w:hideMark/>
          </w:tcPr>
          <w:p w14:paraId="49B1453C"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80 000</w:t>
            </w:r>
          </w:p>
        </w:tc>
        <w:tc>
          <w:tcPr>
            <w:tcW w:w="1915" w:type="dxa"/>
            <w:tcBorders>
              <w:top w:val="nil"/>
              <w:left w:val="nil"/>
              <w:bottom w:val="single" w:sz="4" w:space="0" w:color="auto"/>
              <w:right w:val="single" w:sz="4" w:space="0" w:color="auto"/>
            </w:tcBorders>
            <w:shd w:val="clear" w:color="000000" w:fill="9BC2E6"/>
            <w:noWrap/>
            <w:vAlign w:val="center"/>
            <w:hideMark/>
          </w:tcPr>
          <w:p w14:paraId="30B9FB38"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44 800 000</w:t>
            </w:r>
          </w:p>
        </w:tc>
        <w:tc>
          <w:tcPr>
            <w:tcW w:w="2196" w:type="dxa"/>
            <w:tcBorders>
              <w:top w:val="nil"/>
              <w:left w:val="nil"/>
              <w:bottom w:val="single" w:sz="4" w:space="0" w:color="auto"/>
              <w:right w:val="single" w:sz="4" w:space="0" w:color="auto"/>
            </w:tcBorders>
            <w:shd w:val="clear" w:color="000000" w:fill="9BC2E6"/>
            <w:noWrap/>
            <w:vAlign w:val="center"/>
            <w:hideMark/>
          </w:tcPr>
          <w:p w14:paraId="69E766D0"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1 220 000</w:t>
            </w:r>
          </w:p>
        </w:tc>
        <w:tc>
          <w:tcPr>
            <w:tcW w:w="2693" w:type="dxa"/>
            <w:tcBorders>
              <w:top w:val="nil"/>
              <w:left w:val="nil"/>
              <w:bottom w:val="single" w:sz="4" w:space="0" w:color="auto"/>
              <w:right w:val="single" w:sz="4" w:space="0" w:color="auto"/>
            </w:tcBorders>
            <w:shd w:val="clear" w:color="000000" w:fill="9BC2E6"/>
            <w:noWrap/>
            <w:vAlign w:val="center"/>
            <w:hideMark/>
          </w:tcPr>
          <w:p w14:paraId="6D6020BC"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16 000 000</w:t>
            </w:r>
          </w:p>
        </w:tc>
      </w:tr>
      <w:tr w:rsidR="004D7895" w:rsidRPr="004D7895" w14:paraId="5C34CA2B" w14:textId="77777777" w:rsidTr="004D7895">
        <w:trPr>
          <w:trHeight w:val="320"/>
        </w:trPr>
        <w:tc>
          <w:tcPr>
            <w:tcW w:w="5804" w:type="dxa"/>
            <w:tcBorders>
              <w:top w:val="nil"/>
              <w:left w:val="single" w:sz="4" w:space="0" w:color="auto"/>
              <w:bottom w:val="single" w:sz="4" w:space="0" w:color="auto"/>
              <w:right w:val="single" w:sz="4" w:space="0" w:color="auto"/>
            </w:tcBorders>
            <w:shd w:val="clear" w:color="auto" w:fill="auto"/>
            <w:noWrap/>
            <w:vAlign w:val="center"/>
            <w:hideMark/>
          </w:tcPr>
          <w:p w14:paraId="4E657448"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3</w:t>
            </w:r>
            <w:proofErr w:type="gramStart"/>
            <w:r w:rsidRPr="004D7895">
              <w:rPr>
                <w:rFonts w:ascii="Times New Roman" w:eastAsia="Times New Roman" w:hAnsi="Times New Roman" w:cs="Times New Roman"/>
                <w:b/>
                <w:bCs/>
                <w:i/>
                <w:iCs/>
                <w:color w:val="000000"/>
                <w:lang w:val="fr-FR" w:eastAsia="fr-FR"/>
              </w:rPr>
              <w:t>a:</w:t>
            </w:r>
            <w:proofErr w:type="gramEnd"/>
            <w:r w:rsidRPr="004D7895">
              <w:rPr>
                <w:rFonts w:ascii="Times New Roman" w:eastAsia="Times New Roman" w:hAnsi="Times New Roman" w:cs="Times New Roman"/>
                <w:b/>
                <w:bCs/>
                <w:i/>
                <w:iCs/>
                <w:color w:val="000000"/>
                <w:lang w:val="fr-FR" w:eastAsia="fr-FR"/>
              </w:rPr>
              <w:t xml:space="preserve"> Partenariat</w:t>
            </w:r>
          </w:p>
        </w:tc>
        <w:tc>
          <w:tcPr>
            <w:tcW w:w="1629" w:type="dxa"/>
            <w:tcBorders>
              <w:top w:val="nil"/>
              <w:left w:val="nil"/>
              <w:bottom w:val="single" w:sz="4" w:space="0" w:color="auto"/>
              <w:right w:val="single" w:sz="4" w:space="0" w:color="auto"/>
            </w:tcBorders>
            <w:shd w:val="clear" w:color="auto" w:fill="auto"/>
            <w:noWrap/>
            <w:vAlign w:val="center"/>
            <w:hideMark/>
          </w:tcPr>
          <w:p w14:paraId="252AD8B5"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80 000</w:t>
            </w:r>
          </w:p>
        </w:tc>
        <w:tc>
          <w:tcPr>
            <w:tcW w:w="1915" w:type="dxa"/>
            <w:tcBorders>
              <w:top w:val="nil"/>
              <w:left w:val="nil"/>
              <w:bottom w:val="single" w:sz="4" w:space="0" w:color="auto"/>
              <w:right w:val="single" w:sz="4" w:space="0" w:color="auto"/>
            </w:tcBorders>
            <w:shd w:val="clear" w:color="auto" w:fill="auto"/>
            <w:noWrap/>
            <w:vAlign w:val="center"/>
            <w:hideMark/>
          </w:tcPr>
          <w:p w14:paraId="77C8567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44 800 000</w:t>
            </w:r>
          </w:p>
        </w:tc>
        <w:tc>
          <w:tcPr>
            <w:tcW w:w="2196" w:type="dxa"/>
            <w:tcBorders>
              <w:top w:val="nil"/>
              <w:left w:val="nil"/>
              <w:bottom w:val="single" w:sz="4" w:space="0" w:color="auto"/>
              <w:right w:val="single" w:sz="4" w:space="0" w:color="auto"/>
            </w:tcBorders>
            <w:shd w:val="clear" w:color="auto" w:fill="auto"/>
            <w:noWrap/>
            <w:vAlign w:val="center"/>
            <w:hideMark/>
          </w:tcPr>
          <w:p w14:paraId="5BAA14B5"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1 220 000</w:t>
            </w:r>
          </w:p>
        </w:tc>
        <w:tc>
          <w:tcPr>
            <w:tcW w:w="2693" w:type="dxa"/>
            <w:tcBorders>
              <w:top w:val="nil"/>
              <w:left w:val="nil"/>
              <w:bottom w:val="single" w:sz="4" w:space="0" w:color="auto"/>
              <w:right w:val="single" w:sz="4" w:space="0" w:color="auto"/>
            </w:tcBorders>
            <w:shd w:val="clear" w:color="auto" w:fill="auto"/>
            <w:noWrap/>
            <w:vAlign w:val="center"/>
            <w:hideMark/>
          </w:tcPr>
          <w:p w14:paraId="26E938CD"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16 000 000</w:t>
            </w:r>
          </w:p>
        </w:tc>
      </w:tr>
      <w:tr w:rsidR="004D7895" w:rsidRPr="004D7895" w14:paraId="6528E7CB" w14:textId="77777777" w:rsidTr="004D7895">
        <w:trPr>
          <w:trHeight w:val="320"/>
        </w:trPr>
        <w:tc>
          <w:tcPr>
            <w:tcW w:w="5804" w:type="dxa"/>
            <w:tcBorders>
              <w:top w:val="nil"/>
              <w:left w:val="single" w:sz="4" w:space="0" w:color="auto"/>
              <w:bottom w:val="single" w:sz="4" w:space="0" w:color="auto"/>
              <w:right w:val="single" w:sz="4" w:space="0" w:color="auto"/>
            </w:tcBorders>
            <w:shd w:val="clear" w:color="000000" w:fill="9BC2E6"/>
            <w:noWrap/>
            <w:vAlign w:val="center"/>
            <w:hideMark/>
          </w:tcPr>
          <w:p w14:paraId="703CA836" w14:textId="77777777" w:rsidR="004D7895" w:rsidRPr="004D7895" w:rsidRDefault="004D7895" w:rsidP="004D7895">
            <w:pPr>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 xml:space="preserve">Action </w:t>
            </w:r>
            <w:proofErr w:type="gramStart"/>
            <w:r w:rsidRPr="004D7895">
              <w:rPr>
                <w:rFonts w:ascii="Times New Roman" w:eastAsia="Times New Roman" w:hAnsi="Times New Roman" w:cs="Times New Roman"/>
                <w:b/>
                <w:bCs/>
                <w:color w:val="000000"/>
                <w:lang w:val="fr-FR" w:eastAsia="fr-FR"/>
              </w:rPr>
              <w:t>4:</w:t>
            </w:r>
            <w:proofErr w:type="gramEnd"/>
            <w:r w:rsidRPr="004D7895">
              <w:rPr>
                <w:rFonts w:ascii="Times New Roman" w:eastAsia="Times New Roman" w:hAnsi="Times New Roman" w:cs="Times New Roman"/>
                <w:b/>
                <w:bCs/>
                <w:color w:val="000000"/>
                <w:lang w:val="fr-FR" w:eastAsia="fr-FR"/>
              </w:rPr>
              <w:t xml:space="preserve"> GOUVERNANCE\ DLI1 -DLI4.3 - DLI5.1 - DLI6</w:t>
            </w:r>
          </w:p>
        </w:tc>
        <w:tc>
          <w:tcPr>
            <w:tcW w:w="1629" w:type="dxa"/>
            <w:tcBorders>
              <w:top w:val="nil"/>
              <w:left w:val="nil"/>
              <w:bottom w:val="single" w:sz="4" w:space="0" w:color="auto"/>
              <w:right w:val="single" w:sz="4" w:space="0" w:color="auto"/>
            </w:tcBorders>
            <w:shd w:val="clear" w:color="000000" w:fill="9BC2E6"/>
            <w:noWrap/>
            <w:vAlign w:val="center"/>
            <w:hideMark/>
          </w:tcPr>
          <w:p w14:paraId="620E2297"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341 629</w:t>
            </w:r>
          </w:p>
        </w:tc>
        <w:tc>
          <w:tcPr>
            <w:tcW w:w="1915" w:type="dxa"/>
            <w:tcBorders>
              <w:top w:val="nil"/>
              <w:left w:val="nil"/>
              <w:bottom w:val="single" w:sz="4" w:space="0" w:color="auto"/>
              <w:right w:val="single" w:sz="4" w:space="0" w:color="auto"/>
            </w:tcBorders>
            <w:shd w:val="clear" w:color="000000" w:fill="9BC2E6"/>
            <w:noWrap/>
            <w:vAlign w:val="center"/>
            <w:hideMark/>
          </w:tcPr>
          <w:p w14:paraId="5351E82D"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191 312 240</w:t>
            </w:r>
          </w:p>
        </w:tc>
        <w:tc>
          <w:tcPr>
            <w:tcW w:w="2196" w:type="dxa"/>
            <w:tcBorders>
              <w:top w:val="nil"/>
              <w:left w:val="nil"/>
              <w:bottom w:val="single" w:sz="4" w:space="0" w:color="auto"/>
              <w:right w:val="single" w:sz="4" w:space="0" w:color="auto"/>
            </w:tcBorders>
            <w:shd w:val="clear" w:color="000000" w:fill="9BC2E6"/>
            <w:noWrap/>
            <w:vAlign w:val="center"/>
            <w:hideMark/>
          </w:tcPr>
          <w:p w14:paraId="0844E0B7"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25 107 574</w:t>
            </w:r>
          </w:p>
        </w:tc>
        <w:tc>
          <w:tcPr>
            <w:tcW w:w="2693" w:type="dxa"/>
            <w:tcBorders>
              <w:top w:val="nil"/>
              <w:left w:val="nil"/>
              <w:bottom w:val="single" w:sz="4" w:space="0" w:color="auto"/>
              <w:right w:val="single" w:sz="4" w:space="0" w:color="auto"/>
            </w:tcBorders>
            <w:shd w:val="clear" w:color="000000" w:fill="9BC2E6"/>
            <w:noWrap/>
            <w:vAlign w:val="center"/>
            <w:hideMark/>
          </w:tcPr>
          <w:p w14:paraId="556D8234" w14:textId="77777777" w:rsidR="004D7895" w:rsidRPr="004D7895" w:rsidRDefault="004D7895" w:rsidP="004D7895">
            <w:pPr>
              <w:jc w:val="right"/>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78 200 000</w:t>
            </w:r>
          </w:p>
        </w:tc>
      </w:tr>
      <w:tr w:rsidR="004D7895" w:rsidRPr="004D7895" w14:paraId="30572B9A" w14:textId="77777777" w:rsidTr="004D7895">
        <w:trPr>
          <w:trHeight w:val="389"/>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6D514DF4"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4</w:t>
            </w:r>
            <w:proofErr w:type="gramStart"/>
            <w:r w:rsidRPr="004D7895">
              <w:rPr>
                <w:rFonts w:ascii="Times New Roman" w:eastAsia="Times New Roman" w:hAnsi="Times New Roman" w:cs="Times New Roman"/>
                <w:b/>
                <w:bCs/>
                <w:i/>
                <w:iCs/>
                <w:color w:val="000000"/>
                <w:lang w:val="fr-FR" w:eastAsia="fr-FR"/>
              </w:rPr>
              <w:t>a:</w:t>
            </w:r>
            <w:proofErr w:type="gramEnd"/>
            <w:r w:rsidRPr="004D7895">
              <w:rPr>
                <w:rFonts w:ascii="Times New Roman" w:eastAsia="Times New Roman" w:hAnsi="Times New Roman" w:cs="Times New Roman"/>
                <w:b/>
                <w:bCs/>
                <w:i/>
                <w:iCs/>
                <w:color w:val="000000"/>
                <w:lang w:val="fr-FR" w:eastAsia="fr-FR"/>
              </w:rPr>
              <w:t xml:space="preserve"> Frais de Personnel</w:t>
            </w:r>
          </w:p>
        </w:tc>
        <w:tc>
          <w:tcPr>
            <w:tcW w:w="1629" w:type="dxa"/>
            <w:tcBorders>
              <w:top w:val="nil"/>
              <w:left w:val="nil"/>
              <w:bottom w:val="single" w:sz="4" w:space="0" w:color="auto"/>
              <w:right w:val="single" w:sz="4" w:space="0" w:color="auto"/>
            </w:tcBorders>
            <w:shd w:val="clear" w:color="auto" w:fill="auto"/>
            <w:noWrap/>
            <w:vAlign w:val="center"/>
            <w:hideMark/>
          </w:tcPr>
          <w:p w14:paraId="6328897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120 000</w:t>
            </w:r>
          </w:p>
        </w:tc>
        <w:tc>
          <w:tcPr>
            <w:tcW w:w="1915" w:type="dxa"/>
            <w:tcBorders>
              <w:top w:val="nil"/>
              <w:left w:val="nil"/>
              <w:bottom w:val="single" w:sz="4" w:space="0" w:color="auto"/>
              <w:right w:val="single" w:sz="4" w:space="0" w:color="auto"/>
            </w:tcBorders>
            <w:shd w:val="clear" w:color="auto" w:fill="auto"/>
            <w:noWrap/>
            <w:vAlign w:val="center"/>
            <w:hideMark/>
          </w:tcPr>
          <w:p w14:paraId="252E95F0"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67 200 000</w:t>
            </w:r>
          </w:p>
        </w:tc>
        <w:tc>
          <w:tcPr>
            <w:tcW w:w="2196" w:type="dxa"/>
            <w:tcBorders>
              <w:top w:val="nil"/>
              <w:left w:val="nil"/>
              <w:bottom w:val="single" w:sz="4" w:space="0" w:color="auto"/>
              <w:right w:val="single" w:sz="4" w:space="0" w:color="auto"/>
            </w:tcBorders>
            <w:shd w:val="clear" w:color="auto" w:fill="auto"/>
            <w:noWrap/>
            <w:vAlign w:val="center"/>
            <w:hideMark/>
          </w:tcPr>
          <w:p w14:paraId="073AEDC2"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1 050 000</w:t>
            </w:r>
          </w:p>
        </w:tc>
        <w:tc>
          <w:tcPr>
            <w:tcW w:w="2693" w:type="dxa"/>
            <w:tcBorders>
              <w:top w:val="nil"/>
              <w:left w:val="nil"/>
              <w:bottom w:val="single" w:sz="4" w:space="0" w:color="auto"/>
              <w:right w:val="single" w:sz="4" w:space="0" w:color="auto"/>
            </w:tcBorders>
            <w:shd w:val="clear" w:color="auto" w:fill="auto"/>
            <w:noWrap/>
            <w:vAlign w:val="center"/>
            <w:hideMark/>
          </w:tcPr>
          <w:p w14:paraId="7ABFEF95"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23 000 000</w:t>
            </w:r>
          </w:p>
        </w:tc>
      </w:tr>
      <w:tr w:rsidR="004D7895" w:rsidRPr="004D7895" w14:paraId="4712C3DA" w14:textId="77777777" w:rsidTr="004D7895">
        <w:trPr>
          <w:trHeight w:val="375"/>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1B30922F"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4</w:t>
            </w:r>
            <w:proofErr w:type="gramStart"/>
            <w:r w:rsidRPr="004D7895">
              <w:rPr>
                <w:rFonts w:ascii="Times New Roman" w:eastAsia="Times New Roman" w:hAnsi="Times New Roman" w:cs="Times New Roman"/>
                <w:b/>
                <w:bCs/>
                <w:i/>
                <w:iCs/>
                <w:color w:val="000000"/>
                <w:lang w:val="fr-FR" w:eastAsia="fr-FR"/>
              </w:rPr>
              <w:t>b:</w:t>
            </w:r>
            <w:proofErr w:type="gramEnd"/>
            <w:r w:rsidRPr="004D7895">
              <w:rPr>
                <w:rFonts w:ascii="Times New Roman" w:eastAsia="Times New Roman" w:hAnsi="Times New Roman" w:cs="Times New Roman"/>
                <w:b/>
                <w:bCs/>
                <w:i/>
                <w:iCs/>
                <w:color w:val="000000"/>
                <w:lang w:val="fr-FR" w:eastAsia="fr-FR"/>
              </w:rPr>
              <w:t xml:space="preserve"> Fonctionnement</w:t>
            </w:r>
          </w:p>
        </w:tc>
        <w:tc>
          <w:tcPr>
            <w:tcW w:w="1629" w:type="dxa"/>
            <w:tcBorders>
              <w:top w:val="nil"/>
              <w:left w:val="nil"/>
              <w:bottom w:val="single" w:sz="4" w:space="0" w:color="auto"/>
              <w:right w:val="single" w:sz="4" w:space="0" w:color="auto"/>
            </w:tcBorders>
            <w:shd w:val="clear" w:color="auto" w:fill="auto"/>
            <w:noWrap/>
            <w:vAlign w:val="center"/>
            <w:hideMark/>
          </w:tcPr>
          <w:p w14:paraId="3164C362"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82 700</w:t>
            </w:r>
          </w:p>
        </w:tc>
        <w:tc>
          <w:tcPr>
            <w:tcW w:w="1915" w:type="dxa"/>
            <w:tcBorders>
              <w:top w:val="nil"/>
              <w:left w:val="nil"/>
              <w:bottom w:val="single" w:sz="4" w:space="0" w:color="auto"/>
              <w:right w:val="single" w:sz="4" w:space="0" w:color="auto"/>
            </w:tcBorders>
            <w:shd w:val="clear" w:color="auto" w:fill="auto"/>
            <w:noWrap/>
            <w:vAlign w:val="center"/>
            <w:hideMark/>
          </w:tcPr>
          <w:p w14:paraId="01A843D2"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46 312 000</w:t>
            </w:r>
          </w:p>
        </w:tc>
        <w:tc>
          <w:tcPr>
            <w:tcW w:w="2196" w:type="dxa"/>
            <w:tcBorders>
              <w:top w:val="nil"/>
              <w:left w:val="nil"/>
              <w:bottom w:val="single" w:sz="4" w:space="0" w:color="auto"/>
              <w:right w:val="single" w:sz="4" w:space="0" w:color="auto"/>
            </w:tcBorders>
            <w:shd w:val="clear" w:color="auto" w:fill="auto"/>
            <w:noWrap/>
            <w:vAlign w:val="center"/>
            <w:hideMark/>
          </w:tcPr>
          <w:p w14:paraId="2F3E9220"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3 245 650</w:t>
            </w:r>
          </w:p>
        </w:tc>
        <w:tc>
          <w:tcPr>
            <w:tcW w:w="2693" w:type="dxa"/>
            <w:tcBorders>
              <w:top w:val="nil"/>
              <w:left w:val="nil"/>
              <w:bottom w:val="single" w:sz="4" w:space="0" w:color="auto"/>
              <w:right w:val="single" w:sz="4" w:space="0" w:color="auto"/>
            </w:tcBorders>
            <w:shd w:val="clear" w:color="auto" w:fill="auto"/>
            <w:noWrap/>
            <w:vAlign w:val="center"/>
            <w:hideMark/>
          </w:tcPr>
          <w:p w14:paraId="0E78B05E"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14 200 000</w:t>
            </w:r>
          </w:p>
        </w:tc>
      </w:tr>
      <w:tr w:rsidR="004D7895" w:rsidRPr="004D7895" w14:paraId="677A09B6" w14:textId="77777777" w:rsidTr="004D7895">
        <w:trPr>
          <w:trHeight w:val="32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35F05F25"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4</w:t>
            </w:r>
            <w:proofErr w:type="gramStart"/>
            <w:r w:rsidRPr="004D7895">
              <w:rPr>
                <w:rFonts w:ascii="Times New Roman" w:eastAsia="Times New Roman" w:hAnsi="Times New Roman" w:cs="Times New Roman"/>
                <w:b/>
                <w:bCs/>
                <w:i/>
                <w:iCs/>
                <w:color w:val="000000"/>
                <w:lang w:val="fr-FR" w:eastAsia="fr-FR"/>
              </w:rPr>
              <w:t>c:</w:t>
            </w:r>
            <w:proofErr w:type="gramEnd"/>
            <w:r w:rsidRPr="004D7895">
              <w:rPr>
                <w:rFonts w:ascii="Times New Roman" w:eastAsia="Times New Roman" w:hAnsi="Times New Roman" w:cs="Times New Roman"/>
                <w:b/>
                <w:bCs/>
                <w:i/>
                <w:iCs/>
                <w:color w:val="000000"/>
                <w:lang w:val="fr-FR" w:eastAsia="fr-FR"/>
              </w:rPr>
              <w:t xml:space="preserve"> Investissements/ DLI4.3</w:t>
            </w:r>
          </w:p>
        </w:tc>
        <w:tc>
          <w:tcPr>
            <w:tcW w:w="1629" w:type="dxa"/>
            <w:tcBorders>
              <w:top w:val="nil"/>
              <w:left w:val="nil"/>
              <w:bottom w:val="single" w:sz="4" w:space="0" w:color="auto"/>
              <w:right w:val="single" w:sz="4" w:space="0" w:color="auto"/>
            </w:tcBorders>
            <w:shd w:val="clear" w:color="auto" w:fill="auto"/>
            <w:noWrap/>
            <w:vAlign w:val="center"/>
            <w:hideMark/>
          </w:tcPr>
          <w:p w14:paraId="617EE19C"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113 929</w:t>
            </w:r>
          </w:p>
        </w:tc>
        <w:tc>
          <w:tcPr>
            <w:tcW w:w="1915" w:type="dxa"/>
            <w:tcBorders>
              <w:top w:val="nil"/>
              <w:left w:val="nil"/>
              <w:bottom w:val="single" w:sz="4" w:space="0" w:color="auto"/>
              <w:right w:val="single" w:sz="4" w:space="0" w:color="auto"/>
            </w:tcBorders>
            <w:shd w:val="clear" w:color="auto" w:fill="auto"/>
            <w:noWrap/>
            <w:vAlign w:val="center"/>
            <w:hideMark/>
          </w:tcPr>
          <w:p w14:paraId="5BA20F56"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63 800 240</w:t>
            </w:r>
          </w:p>
        </w:tc>
        <w:tc>
          <w:tcPr>
            <w:tcW w:w="2196" w:type="dxa"/>
            <w:tcBorders>
              <w:top w:val="nil"/>
              <w:left w:val="nil"/>
              <w:bottom w:val="single" w:sz="4" w:space="0" w:color="auto"/>
              <w:right w:val="single" w:sz="4" w:space="0" w:color="auto"/>
            </w:tcBorders>
            <w:shd w:val="clear" w:color="auto" w:fill="auto"/>
            <w:noWrap/>
            <w:vAlign w:val="center"/>
            <w:hideMark/>
          </w:tcPr>
          <w:p w14:paraId="73334522"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17 684 624</w:t>
            </w:r>
          </w:p>
        </w:tc>
        <w:tc>
          <w:tcPr>
            <w:tcW w:w="2693" w:type="dxa"/>
            <w:tcBorders>
              <w:top w:val="nil"/>
              <w:left w:val="nil"/>
              <w:bottom w:val="single" w:sz="4" w:space="0" w:color="auto"/>
              <w:right w:val="single" w:sz="4" w:space="0" w:color="auto"/>
            </w:tcBorders>
            <w:shd w:val="clear" w:color="auto" w:fill="auto"/>
            <w:noWrap/>
            <w:vAlign w:val="center"/>
            <w:hideMark/>
          </w:tcPr>
          <w:p w14:paraId="10F022F7"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35 000 000</w:t>
            </w:r>
          </w:p>
        </w:tc>
      </w:tr>
      <w:tr w:rsidR="004D7895" w:rsidRPr="004D7895" w14:paraId="0D27B6FB" w14:textId="77777777" w:rsidTr="004D7895">
        <w:trPr>
          <w:trHeight w:val="320"/>
        </w:trPr>
        <w:tc>
          <w:tcPr>
            <w:tcW w:w="5804" w:type="dxa"/>
            <w:tcBorders>
              <w:top w:val="nil"/>
              <w:left w:val="single" w:sz="4" w:space="0" w:color="auto"/>
              <w:bottom w:val="single" w:sz="4" w:space="0" w:color="auto"/>
              <w:right w:val="single" w:sz="4" w:space="0" w:color="auto"/>
            </w:tcBorders>
            <w:shd w:val="clear" w:color="auto" w:fill="auto"/>
            <w:vAlign w:val="center"/>
            <w:hideMark/>
          </w:tcPr>
          <w:p w14:paraId="4FD37CDC" w14:textId="77777777" w:rsidR="004D7895" w:rsidRPr="004D7895" w:rsidRDefault="004D7895" w:rsidP="004D7895">
            <w:pPr>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Sous-Action 4</w:t>
            </w:r>
            <w:proofErr w:type="gramStart"/>
            <w:r w:rsidRPr="004D7895">
              <w:rPr>
                <w:rFonts w:ascii="Times New Roman" w:eastAsia="Times New Roman" w:hAnsi="Times New Roman" w:cs="Times New Roman"/>
                <w:b/>
                <w:bCs/>
                <w:i/>
                <w:iCs/>
                <w:color w:val="000000"/>
                <w:lang w:val="fr-FR" w:eastAsia="fr-FR"/>
              </w:rPr>
              <w:t>d:</w:t>
            </w:r>
            <w:proofErr w:type="gramEnd"/>
            <w:r w:rsidRPr="004D7895">
              <w:rPr>
                <w:rFonts w:ascii="Times New Roman" w:eastAsia="Times New Roman" w:hAnsi="Times New Roman" w:cs="Times New Roman"/>
                <w:b/>
                <w:bCs/>
                <w:i/>
                <w:iCs/>
                <w:color w:val="000000"/>
                <w:lang w:val="fr-FR" w:eastAsia="fr-FR"/>
              </w:rPr>
              <w:t xml:space="preserve"> Procédures/Audit/Evaluations</w:t>
            </w:r>
          </w:p>
        </w:tc>
        <w:tc>
          <w:tcPr>
            <w:tcW w:w="1629" w:type="dxa"/>
            <w:tcBorders>
              <w:top w:val="nil"/>
              <w:left w:val="nil"/>
              <w:bottom w:val="single" w:sz="4" w:space="0" w:color="auto"/>
              <w:right w:val="single" w:sz="4" w:space="0" w:color="auto"/>
            </w:tcBorders>
            <w:shd w:val="clear" w:color="auto" w:fill="auto"/>
            <w:noWrap/>
            <w:vAlign w:val="center"/>
            <w:hideMark/>
          </w:tcPr>
          <w:p w14:paraId="7F69D36B"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25 000</w:t>
            </w:r>
          </w:p>
        </w:tc>
        <w:tc>
          <w:tcPr>
            <w:tcW w:w="1915" w:type="dxa"/>
            <w:tcBorders>
              <w:top w:val="nil"/>
              <w:left w:val="nil"/>
              <w:bottom w:val="single" w:sz="4" w:space="0" w:color="auto"/>
              <w:right w:val="single" w:sz="4" w:space="0" w:color="auto"/>
            </w:tcBorders>
            <w:shd w:val="clear" w:color="auto" w:fill="auto"/>
            <w:noWrap/>
            <w:vAlign w:val="center"/>
            <w:hideMark/>
          </w:tcPr>
          <w:p w14:paraId="19E0A55C"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14 000 000</w:t>
            </w:r>
          </w:p>
        </w:tc>
        <w:tc>
          <w:tcPr>
            <w:tcW w:w="2196" w:type="dxa"/>
            <w:tcBorders>
              <w:top w:val="nil"/>
              <w:left w:val="nil"/>
              <w:bottom w:val="single" w:sz="4" w:space="0" w:color="auto"/>
              <w:right w:val="single" w:sz="4" w:space="0" w:color="auto"/>
            </w:tcBorders>
            <w:shd w:val="clear" w:color="auto" w:fill="auto"/>
            <w:noWrap/>
            <w:vAlign w:val="center"/>
            <w:hideMark/>
          </w:tcPr>
          <w:p w14:paraId="5A348D11"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3 127 300</w:t>
            </w:r>
          </w:p>
        </w:tc>
        <w:tc>
          <w:tcPr>
            <w:tcW w:w="2693" w:type="dxa"/>
            <w:tcBorders>
              <w:top w:val="nil"/>
              <w:left w:val="nil"/>
              <w:bottom w:val="single" w:sz="4" w:space="0" w:color="auto"/>
              <w:right w:val="single" w:sz="4" w:space="0" w:color="auto"/>
            </w:tcBorders>
            <w:shd w:val="clear" w:color="auto" w:fill="auto"/>
            <w:noWrap/>
            <w:vAlign w:val="center"/>
            <w:hideMark/>
          </w:tcPr>
          <w:p w14:paraId="2D14AC6E" w14:textId="77777777" w:rsidR="004D7895" w:rsidRPr="004D7895" w:rsidRDefault="004D7895" w:rsidP="004D7895">
            <w:pPr>
              <w:jc w:val="right"/>
              <w:rPr>
                <w:rFonts w:ascii="Times New Roman" w:eastAsia="Times New Roman" w:hAnsi="Times New Roman" w:cs="Times New Roman"/>
                <w:b/>
                <w:bCs/>
                <w:i/>
                <w:iCs/>
                <w:color w:val="000000"/>
                <w:lang w:val="fr-FR" w:eastAsia="fr-FR"/>
              </w:rPr>
            </w:pPr>
            <w:r w:rsidRPr="004D7895">
              <w:rPr>
                <w:rFonts w:ascii="Times New Roman" w:eastAsia="Times New Roman" w:hAnsi="Times New Roman" w:cs="Times New Roman"/>
                <w:b/>
                <w:bCs/>
                <w:i/>
                <w:iCs/>
                <w:color w:val="000000"/>
                <w:lang w:val="fr-FR" w:eastAsia="fr-FR"/>
              </w:rPr>
              <w:t>6 000 000</w:t>
            </w:r>
          </w:p>
        </w:tc>
      </w:tr>
      <w:tr w:rsidR="004D7895" w:rsidRPr="004D7895" w14:paraId="0BA95DF9" w14:textId="77777777" w:rsidTr="004D7895">
        <w:trPr>
          <w:trHeight w:val="320"/>
        </w:trPr>
        <w:tc>
          <w:tcPr>
            <w:tcW w:w="5804" w:type="dxa"/>
            <w:tcBorders>
              <w:top w:val="nil"/>
              <w:left w:val="single" w:sz="4" w:space="0" w:color="auto"/>
              <w:bottom w:val="single" w:sz="4" w:space="0" w:color="auto"/>
              <w:right w:val="single" w:sz="4" w:space="0" w:color="auto"/>
            </w:tcBorders>
            <w:shd w:val="clear" w:color="000000" w:fill="B4C6E7"/>
            <w:vAlign w:val="bottom"/>
            <w:hideMark/>
          </w:tcPr>
          <w:p w14:paraId="47A36571" w14:textId="77777777" w:rsidR="004D7895" w:rsidRPr="004D7895" w:rsidRDefault="004D7895" w:rsidP="004D7895">
            <w:pPr>
              <w:rPr>
                <w:rFonts w:ascii="Times New Roman" w:eastAsia="Times New Roman" w:hAnsi="Times New Roman" w:cs="Times New Roman"/>
                <w:b/>
                <w:bCs/>
                <w:color w:val="000000"/>
                <w:lang w:val="fr-FR" w:eastAsia="fr-FR"/>
              </w:rPr>
            </w:pPr>
            <w:r w:rsidRPr="004D7895">
              <w:rPr>
                <w:rFonts w:ascii="Times New Roman" w:eastAsia="Times New Roman" w:hAnsi="Times New Roman" w:cs="Times New Roman"/>
                <w:b/>
                <w:bCs/>
                <w:color w:val="000000"/>
                <w:lang w:val="fr-FR" w:eastAsia="fr-FR"/>
              </w:rPr>
              <w:t xml:space="preserve"> TOTAL GENERAL</w:t>
            </w:r>
          </w:p>
        </w:tc>
        <w:tc>
          <w:tcPr>
            <w:tcW w:w="1629" w:type="dxa"/>
            <w:tcBorders>
              <w:top w:val="nil"/>
              <w:left w:val="nil"/>
              <w:bottom w:val="single" w:sz="4" w:space="0" w:color="auto"/>
              <w:right w:val="single" w:sz="4" w:space="0" w:color="auto"/>
            </w:tcBorders>
            <w:shd w:val="clear" w:color="000000" w:fill="B4C6E7"/>
            <w:noWrap/>
            <w:vAlign w:val="bottom"/>
            <w:hideMark/>
          </w:tcPr>
          <w:p w14:paraId="62778AF9" w14:textId="77777777" w:rsidR="004D7895" w:rsidRPr="004D7895" w:rsidRDefault="004D7895" w:rsidP="004D7895">
            <w:pPr>
              <w:jc w:val="right"/>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3 065 629</w:t>
            </w:r>
          </w:p>
        </w:tc>
        <w:tc>
          <w:tcPr>
            <w:tcW w:w="1915" w:type="dxa"/>
            <w:tcBorders>
              <w:top w:val="nil"/>
              <w:left w:val="nil"/>
              <w:bottom w:val="single" w:sz="4" w:space="0" w:color="auto"/>
              <w:right w:val="single" w:sz="4" w:space="0" w:color="auto"/>
            </w:tcBorders>
            <w:shd w:val="clear" w:color="000000" w:fill="B4C6E7"/>
            <w:noWrap/>
            <w:vAlign w:val="bottom"/>
            <w:hideMark/>
          </w:tcPr>
          <w:p w14:paraId="1F1B5404" w14:textId="77777777" w:rsidR="004D7895" w:rsidRPr="004D7895" w:rsidRDefault="004D7895" w:rsidP="004D7895">
            <w:pPr>
              <w:jc w:val="right"/>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1 716 752 240</w:t>
            </w:r>
          </w:p>
        </w:tc>
        <w:tc>
          <w:tcPr>
            <w:tcW w:w="2196" w:type="dxa"/>
            <w:tcBorders>
              <w:top w:val="nil"/>
              <w:left w:val="nil"/>
              <w:bottom w:val="single" w:sz="4" w:space="0" w:color="auto"/>
              <w:right w:val="single" w:sz="4" w:space="0" w:color="auto"/>
            </w:tcBorders>
            <w:shd w:val="clear" w:color="000000" w:fill="B4C6E7"/>
            <w:noWrap/>
            <w:vAlign w:val="bottom"/>
            <w:hideMark/>
          </w:tcPr>
          <w:p w14:paraId="7672E3F5" w14:textId="77777777" w:rsidR="004D7895" w:rsidRPr="004D7895" w:rsidRDefault="004D7895" w:rsidP="004D7895">
            <w:pPr>
              <w:jc w:val="right"/>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30 175 574</w:t>
            </w:r>
          </w:p>
        </w:tc>
        <w:tc>
          <w:tcPr>
            <w:tcW w:w="2693" w:type="dxa"/>
            <w:tcBorders>
              <w:top w:val="nil"/>
              <w:left w:val="nil"/>
              <w:bottom w:val="single" w:sz="4" w:space="0" w:color="auto"/>
              <w:right w:val="single" w:sz="4" w:space="0" w:color="auto"/>
            </w:tcBorders>
            <w:shd w:val="clear" w:color="000000" w:fill="B4C6E7"/>
            <w:noWrap/>
            <w:vAlign w:val="bottom"/>
            <w:hideMark/>
          </w:tcPr>
          <w:p w14:paraId="30A02B49" w14:textId="77777777" w:rsidR="004D7895" w:rsidRPr="004D7895" w:rsidRDefault="004D7895" w:rsidP="004D7895">
            <w:pPr>
              <w:jc w:val="right"/>
              <w:rPr>
                <w:rFonts w:ascii="Times New Roman" w:eastAsia="Times New Roman" w:hAnsi="Times New Roman" w:cs="Times New Roman"/>
                <w:color w:val="000000"/>
                <w:lang w:val="fr-FR" w:eastAsia="fr-FR"/>
              </w:rPr>
            </w:pPr>
            <w:r w:rsidRPr="004D7895">
              <w:rPr>
                <w:rFonts w:ascii="Times New Roman" w:eastAsia="Times New Roman" w:hAnsi="Times New Roman" w:cs="Times New Roman"/>
                <w:color w:val="000000"/>
                <w:lang w:val="fr-FR" w:eastAsia="fr-FR"/>
              </w:rPr>
              <w:t>495 200 000</w:t>
            </w:r>
          </w:p>
        </w:tc>
      </w:tr>
    </w:tbl>
    <w:p w14:paraId="5E799806" w14:textId="77777777" w:rsidR="004D7895" w:rsidRDefault="004D7895" w:rsidP="00B00643"/>
    <w:p w14:paraId="5B592520" w14:textId="77777777" w:rsidR="0005598A" w:rsidRDefault="0005598A" w:rsidP="00AB3454">
      <w:bookmarkStart w:id="44" w:name="_Toc102898212"/>
    </w:p>
    <w:p w14:paraId="7D20DD3D" w14:textId="77777777" w:rsidR="0005598A" w:rsidRDefault="0005598A" w:rsidP="00AB3454"/>
    <w:bookmarkEnd w:id="44"/>
    <w:p w14:paraId="50208A72" w14:textId="77777777" w:rsidR="005F5F6E" w:rsidRDefault="005F5F6E" w:rsidP="00BF13A3">
      <w:pPr>
        <w:jc w:val="both"/>
        <w:rPr>
          <w:rFonts w:cs="Calibri"/>
          <w:color w:val="000000"/>
        </w:rPr>
      </w:pPr>
    </w:p>
    <w:p w14:paraId="208460F0" w14:textId="77777777" w:rsidR="009D11E8" w:rsidRDefault="009D11E8" w:rsidP="00BF13A3">
      <w:pPr>
        <w:jc w:val="both"/>
        <w:rPr>
          <w:rFonts w:cs="Calibri"/>
          <w:color w:val="000000"/>
        </w:rPr>
        <w:sectPr w:rsidR="009D11E8" w:rsidSect="004D7895">
          <w:pgSz w:w="16840" w:h="11900" w:orient="landscape"/>
          <w:pgMar w:top="1474" w:right="1418" w:bottom="741" w:left="1418" w:header="709" w:footer="709" w:gutter="0"/>
          <w:pgNumType w:start="0"/>
          <w:cols w:space="708"/>
          <w:titlePg/>
          <w:docGrid w:linePitch="360"/>
        </w:sectPr>
      </w:pPr>
    </w:p>
    <w:p w14:paraId="51C75F44" w14:textId="689EA451" w:rsidR="00CF00CF" w:rsidRDefault="00CF00CF" w:rsidP="00BF13A3">
      <w:pPr>
        <w:jc w:val="both"/>
        <w:rPr>
          <w:rFonts w:cs="Calibri"/>
          <w:color w:val="000000"/>
        </w:rPr>
      </w:pPr>
    </w:p>
    <w:p w14:paraId="4E240CC6" w14:textId="3C1D2BA0" w:rsidR="00CF00CF" w:rsidRPr="00007DB4" w:rsidRDefault="00C26B00" w:rsidP="00007DB4">
      <w:pPr>
        <w:pStyle w:val="Titre1"/>
        <w:numPr>
          <w:ilvl w:val="0"/>
          <w:numId w:val="8"/>
        </w:numPr>
        <w:ind w:left="426" w:hanging="371"/>
        <w:rPr>
          <w:rFonts w:asciiTheme="minorHAnsi" w:hAnsiTheme="minorHAnsi" w:cstheme="minorHAnsi"/>
          <w:b/>
          <w:bCs/>
          <w:color w:val="000000" w:themeColor="text1"/>
          <w:sz w:val="24"/>
          <w:szCs w:val="24"/>
        </w:rPr>
      </w:pPr>
      <w:bookmarkStart w:id="45" w:name="_Toc102824238"/>
      <w:bookmarkStart w:id="46" w:name="_Toc102897394"/>
      <w:bookmarkStart w:id="47" w:name="_Toc102897609"/>
      <w:bookmarkStart w:id="48" w:name="_Toc102897670"/>
      <w:bookmarkStart w:id="49" w:name="_Toc102897748"/>
      <w:bookmarkStart w:id="50" w:name="_Toc102898060"/>
      <w:bookmarkStart w:id="51" w:name="_Toc102898109"/>
      <w:bookmarkStart w:id="52" w:name="_Toc102898166"/>
      <w:bookmarkStart w:id="53" w:name="_Toc102898213"/>
      <w:bookmarkStart w:id="54" w:name="_Toc103006576"/>
      <w:r w:rsidRPr="00007DB4">
        <w:rPr>
          <w:rFonts w:asciiTheme="minorHAnsi" w:hAnsiTheme="minorHAnsi" w:cstheme="minorHAnsi"/>
          <w:b/>
          <w:bCs/>
          <w:color w:val="000000" w:themeColor="text1"/>
          <w:sz w:val="24"/>
          <w:szCs w:val="24"/>
        </w:rPr>
        <w:t>ACCOMPAGNEMENT</w:t>
      </w:r>
      <w:r w:rsidR="00CF00CF" w:rsidRPr="00007DB4">
        <w:rPr>
          <w:rFonts w:asciiTheme="minorHAnsi" w:hAnsiTheme="minorHAnsi" w:cstheme="minorHAnsi"/>
          <w:b/>
          <w:bCs/>
          <w:color w:val="000000" w:themeColor="text1"/>
          <w:sz w:val="24"/>
          <w:szCs w:val="24"/>
        </w:rPr>
        <w:t xml:space="preserve"> </w:t>
      </w:r>
      <w:r w:rsidRPr="00007DB4">
        <w:rPr>
          <w:rFonts w:asciiTheme="minorHAnsi" w:hAnsiTheme="minorHAnsi" w:cstheme="minorHAnsi"/>
          <w:b/>
          <w:bCs/>
          <w:color w:val="000000" w:themeColor="text1"/>
          <w:sz w:val="24"/>
          <w:szCs w:val="24"/>
        </w:rPr>
        <w:t>DU</w:t>
      </w:r>
      <w:r w:rsidR="00CF00CF" w:rsidRPr="00007DB4">
        <w:rPr>
          <w:rFonts w:asciiTheme="minorHAnsi" w:hAnsiTheme="minorHAnsi" w:cstheme="minorHAnsi"/>
          <w:b/>
          <w:bCs/>
          <w:color w:val="000000" w:themeColor="text1"/>
          <w:sz w:val="24"/>
          <w:szCs w:val="24"/>
        </w:rPr>
        <w:t xml:space="preserve"> PLAN</w:t>
      </w:r>
      <w:r w:rsidRPr="00007DB4">
        <w:rPr>
          <w:rFonts w:asciiTheme="minorHAnsi" w:hAnsiTheme="minorHAnsi" w:cstheme="minorHAnsi"/>
          <w:b/>
          <w:bCs/>
          <w:color w:val="000000" w:themeColor="text1"/>
          <w:sz w:val="24"/>
          <w:szCs w:val="24"/>
        </w:rPr>
        <w:t xml:space="preserve"> </w:t>
      </w:r>
      <w:r w:rsidR="00CF00CF" w:rsidRPr="00007DB4">
        <w:rPr>
          <w:rFonts w:asciiTheme="minorHAnsi" w:hAnsiTheme="minorHAnsi" w:cstheme="minorHAnsi"/>
          <w:b/>
          <w:bCs/>
          <w:color w:val="000000" w:themeColor="text1"/>
          <w:sz w:val="24"/>
          <w:szCs w:val="24"/>
        </w:rPr>
        <w:t>D’ACCELERATION</w:t>
      </w:r>
      <w:bookmarkEnd w:id="45"/>
      <w:bookmarkEnd w:id="46"/>
      <w:bookmarkEnd w:id="47"/>
      <w:bookmarkEnd w:id="48"/>
      <w:bookmarkEnd w:id="49"/>
      <w:bookmarkEnd w:id="50"/>
      <w:bookmarkEnd w:id="51"/>
      <w:bookmarkEnd w:id="52"/>
      <w:bookmarkEnd w:id="53"/>
      <w:bookmarkEnd w:id="54"/>
    </w:p>
    <w:p w14:paraId="580AD4F4" w14:textId="77777777" w:rsidR="00CF00CF" w:rsidRPr="007526F7" w:rsidRDefault="00CF00CF" w:rsidP="00CF00CF">
      <w:pPr>
        <w:rPr>
          <w:rFonts w:ascii="Palatino Linotype" w:eastAsia="Times New Roman" w:hAnsi="Palatino Linotype" w:cs="Times New Roman"/>
          <w:b/>
          <w:bCs/>
          <w:color w:val="C45911" w:themeColor="accent2" w:themeShade="BF"/>
          <w:sz w:val="22"/>
          <w:szCs w:val="22"/>
        </w:rPr>
      </w:pPr>
    </w:p>
    <w:p w14:paraId="32988A5B" w14:textId="44151403" w:rsidR="00CF00CF" w:rsidRDefault="00071E02" w:rsidP="00C26B00">
      <w:pPr>
        <w:spacing w:before="120" w:line="276" w:lineRule="auto"/>
        <w:jc w:val="both"/>
        <w:rPr>
          <w:rFonts w:ascii="Palatino Linotype" w:hAnsi="Palatino Linotype"/>
        </w:rPr>
      </w:pPr>
      <w:r>
        <w:rPr>
          <w:rFonts w:ascii="Palatino Linotype" w:hAnsi="Palatino Linotype"/>
        </w:rPr>
        <w:t xml:space="preserve">Les moyens financiers étant disponibles, le CEA a pris de forts engagement à </w:t>
      </w:r>
      <w:r w:rsidR="00EF099B">
        <w:rPr>
          <w:rFonts w:ascii="Palatino Linotype" w:hAnsi="Palatino Linotype"/>
        </w:rPr>
        <w:t>renforcer</w:t>
      </w:r>
      <w:r>
        <w:rPr>
          <w:rFonts w:ascii="Palatino Linotype" w:hAnsi="Palatino Linotype"/>
        </w:rPr>
        <w:t xml:space="preserve"> </w:t>
      </w:r>
      <w:r w:rsidR="00EF099B">
        <w:rPr>
          <w:rFonts w:ascii="Palatino Linotype" w:hAnsi="Palatino Linotype"/>
        </w:rPr>
        <w:t>son</w:t>
      </w:r>
      <w:r>
        <w:rPr>
          <w:rFonts w:ascii="Palatino Linotype" w:hAnsi="Palatino Linotype"/>
        </w:rPr>
        <w:t xml:space="preserve"> personnel </w:t>
      </w:r>
      <w:r w:rsidR="00EF099B">
        <w:rPr>
          <w:rFonts w:ascii="Palatino Linotype" w:hAnsi="Palatino Linotype"/>
        </w:rPr>
        <w:t>d’appui</w:t>
      </w:r>
      <w:r>
        <w:rPr>
          <w:rFonts w:ascii="Palatino Linotype" w:hAnsi="Palatino Linotype"/>
        </w:rPr>
        <w:t xml:space="preserve"> </w:t>
      </w:r>
      <w:r w:rsidR="00FA2C3A">
        <w:rPr>
          <w:rFonts w:ascii="Palatino Linotype" w:hAnsi="Palatino Linotype"/>
        </w:rPr>
        <w:t xml:space="preserve">(RSE, webmaster, assistant) </w:t>
      </w:r>
      <w:r>
        <w:rPr>
          <w:rFonts w:ascii="Palatino Linotype" w:hAnsi="Palatino Linotype"/>
        </w:rPr>
        <w:t xml:space="preserve">pour </w:t>
      </w:r>
      <w:r w:rsidR="00EF099B">
        <w:rPr>
          <w:rFonts w:ascii="Palatino Linotype" w:hAnsi="Palatino Linotype"/>
        </w:rPr>
        <w:t>prendre en charge les mult</w:t>
      </w:r>
      <w:r w:rsidR="00C26B00">
        <w:rPr>
          <w:rFonts w:ascii="Palatino Linotype" w:hAnsi="Palatino Linotype"/>
        </w:rPr>
        <w:t xml:space="preserve">iples défis et </w:t>
      </w:r>
      <w:r>
        <w:rPr>
          <w:rFonts w:ascii="Palatino Linotype" w:hAnsi="Palatino Linotype"/>
        </w:rPr>
        <w:t xml:space="preserve">atteindre </w:t>
      </w:r>
      <w:r w:rsidR="00C26B00">
        <w:rPr>
          <w:rFonts w:ascii="Palatino Linotype" w:hAnsi="Palatino Linotype"/>
        </w:rPr>
        <w:t xml:space="preserve">d’une part </w:t>
      </w:r>
      <w:r>
        <w:rPr>
          <w:rFonts w:ascii="Palatino Linotype" w:hAnsi="Palatino Linotype"/>
        </w:rPr>
        <w:t>ses objectifs</w:t>
      </w:r>
      <w:r w:rsidR="00C26B00">
        <w:rPr>
          <w:rFonts w:ascii="Palatino Linotype" w:hAnsi="Palatino Linotype"/>
        </w:rPr>
        <w:t xml:space="preserve"> opérationnels et ses objectifs de développement</w:t>
      </w:r>
      <w:r w:rsidR="00A91A5B">
        <w:rPr>
          <w:rFonts w:ascii="Palatino Linotype" w:hAnsi="Palatino Linotype"/>
        </w:rPr>
        <w:t>.</w:t>
      </w:r>
      <w:r>
        <w:rPr>
          <w:rFonts w:ascii="Palatino Linotype" w:hAnsi="Palatino Linotype"/>
        </w:rPr>
        <w:t xml:space="preserve"> </w:t>
      </w:r>
      <w:r w:rsidR="00A91A5B">
        <w:rPr>
          <w:rFonts w:ascii="Palatino Linotype" w:hAnsi="Palatino Linotype"/>
        </w:rPr>
        <w:t xml:space="preserve">Par ailleurs, </w:t>
      </w:r>
      <w:r w:rsidR="00C26B00">
        <w:rPr>
          <w:rFonts w:ascii="Palatino Linotype" w:hAnsi="Palatino Linotype"/>
        </w:rPr>
        <w:t>le CEA</w:t>
      </w:r>
      <w:r w:rsidR="00A91A5B">
        <w:rPr>
          <w:rFonts w:ascii="Palatino Linotype" w:hAnsi="Palatino Linotype"/>
        </w:rPr>
        <w:t xml:space="preserve"> s’engage à dérouler des activités de renforcement de capacité pour le personnel des universités et pour la communauté des acteurs. Les acquisition</w:t>
      </w:r>
      <w:r w:rsidR="00FA2C3A">
        <w:rPr>
          <w:rFonts w:ascii="Palatino Linotype" w:hAnsi="Palatino Linotype"/>
        </w:rPr>
        <w:t>s</w:t>
      </w:r>
      <w:r w:rsidR="00A91A5B">
        <w:rPr>
          <w:rFonts w:ascii="Palatino Linotype" w:hAnsi="Palatino Linotype"/>
        </w:rPr>
        <w:t xml:space="preserve"> en moyens matériels </w:t>
      </w:r>
      <w:r w:rsidR="00FA2C3A">
        <w:rPr>
          <w:rFonts w:ascii="Palatino Linotype" w:hAnsi="Palatino Linotype"/>
        </w:rPr>
        <w:t xml:space="preserve">et infrastructures </w:t>
      </w:r>
      <w:r w:rsidR="00A91A5B">
        <w:rPr>
          <w:rFonts w:ascii="Palatino Linotype" w:hAnsi="Palatino Linotype"/>
        </w:rPr>
        <w:t>profiteront aux nombreuses activités et permettront d’atteindre plus de monde et au niveau de la sous-région.</w:t>
      </w:r>
    </w:p>
    <w:p w14:paraId="5374FF84" w14:textId="2FEAA518" w:rsidR="00FA2C3A" w:rsidRPr="00647B04" w:rsidRDefault="001648A0" w:rsidP="00C26B00">
      <w:pPr>
        <w:spacing w:before="120" w:line="276" w:lineRule="auto"/>
        <w:jc w:val="both"/>
        <w:rPr>
          <w:rFonts w:ascii="Palatino Linotype" w:hAnsi="Palatino Linotype"/>
        </w:rPr>
      </w:pPr>
      <w:r>
        <w:rPr>
          <w:rFonts w:ascii="Palatino Linotype" w:hAnsi="Palatino Linotype"/>
        </w:rPr>
        <w:t>Le</w:t>
      </w:r>
      <w:r w:rsidR="00FA2C3A">
        <w:rPr>
          <w:rFonts w:ascii="Palatino Linotype" w:hAnsi="Palatino Linotype"/>
        </w:rPr>
        <w:t xml:space="preserve"> soutien </w:t>
      </w:r>
      <w:r>
        <w:rPr>
          <w:rFonts w:ascii="Palatino Linotype" w:hAnsi="Palatino Linotype"/>
        </w:rPr>
        <w:t xml:space="preserve">de taille </w:t>
      </w:r>
      <w:r w:rsidR="00FA2C3A">
        <w:rPr>
          <w:rFonts w:ascii="Palatino Linotype" w:hAnsi="Palatino Linotype"/>
        </w:rPr>
        <w:t xml:space="preserve">accordé par le Ministre de l’Enseignement supérieur et par le Recteur de l’UCAD </w:t>
      </w:r>
      <w:r>
        <w:rPr>
          <w:rFonts w:ascii="Palatino Linotype" w:hAnsi="Palatino Linotype"/>
        </w:rPr>
        <w:t>à travers les agendas de travail, la désignation de points focaux spécifiques CEA nous sont très encourage</w:t>
      </w:r>
      <w:r w:rsidR="00936F45">
        <w:rPr>
          <w:rFonts w:ascii="Palatino Linotype" w:hAnsi="Palatino Linotype"/>
        </w:rPr>
        <w:t xml:space="preserve">ant et </w:t>
      </w:r>
      <w:r>
        <w:rPr>
          <w:rFonts w:ascii="Palatino Linotype" w:hAnsi="Palatino Linotype"/>
        </w:rPr>
        <w:t xml:space="preserve">devient un gage de </w:t>
      </w:r>
      <w:r w:rsidR="00936F45">
        <w:rPr>
          <w:rFonts w:ascii="Palatino Linotype" w:hAnsi="Palatino Linotype"/>
        </w:rPr>
        <w:t>réussite.</w:t>
      </w:r>
      <w:r w:rsidR="003368BB">
        <w:rPr>
          <w:rFonts w:ascii="Palatino Linotype" w:hAnsi="Palatino Linotype"/>
        </w:rPr>
        <w:t xml:space="preserve"> Des rencontres régulières sont prévues avec ces responsables.</w:t>
      </w:r>
    </w:p>
    <w:p w14:paraId="04AC0FFF" w14:textId="695A832B" w:rsidR="00CF00CF" w:rsidRPr="00936F45" w:rsidRDefault="00936F45" w:rsidP="00C26B00">
      <w:pPr>
        <w:spacing w:before="120" w:line="276" w:lineRule="auto"/>
        <w:jc w:val="both"/>
        <w:rPr>
          <w:rFonts w:ascii="Palatino Linotype" w:hAnsi="Palatino Linotype"/>
          <w:lang w:val="fr-FR"/>
        </w:rPr>
      </w:pPr>
      <w:r w:rsidRPr="00936F45">
        <w:rPr>
          <w:rFonts w:ascii="Palatino Linotype" w:hAnsi="Palatino Linotype"/>
          <w:lang w:val="fr-FR"/>
        </w:rPr>
        <w:t xml:space="preserve">Le CEA AGRISAN est membre fondateur du réseau FOOD 4 </w:t>
      </w:r>
      <w:proofErr w:type="spellStart"/>
      <w:r w:rsidRPr="00936F45">
        <w:rPr>
          <w:rFonts w:ascii="Palatino Linotype" w:hAnsi="Palatino Linotype"/>
          <w:lang w:val="fr-FR"/>
        </w:rPr>
        <w:t>AFrica</w:t>
      </w:r>
      <w:proofErr w:type="spellEnd"/>
      <w:r w:rsidRPr="00936F45">
        <w:rPr>
          <w:rFonts w:ascii="Palatino Linotype" w:hAnsi="Palatino Linotype"/>
          <w:lang w:val="fr-FR"/>
        </w:rPr>
        <w:t xml:space="preserve"> qui regroupe les CEA travaillant autour de l’Agriculture, la Sécurité Alimentaire et la Nutrition.</w:t>
      </w:r>
      <w:r w:rsidR="00E23119">
        <w:rPr>
          <w:rFonts w:ascii="Palatino Linotype" w:hAnsi="Palatino Linotype"/>
          <w:lang w:val="fr-FR"/>
        </w:rPr>
        <w:t xml:space="preserve"> La prochaine rencontre de ce réseau est prévue à Dakar, à l’honneur du CEA-AGRISAN. Ce réseau sera mis à profit pour dérouler le programme de benchmarking pour s’imprégner des meilleures pratiques.</w:t>
      </w:r>
    </w:p>
    <w:p w14:paraId="03C43B86" w14:textId="77777777" w:rsidR="00CF00CF" w:rsidRPr="00A5056D" w:rsidRDefault="00CF00CF" w:rsidP="00CF00CF">
      <w:pPr>
        <w:rPr>
          <w:rFonts w:ascii="Palatino Linotype" w:eastAsia="Times New Roman" w:hAnsi="Palatino Linotype" w:cs="Times New Roman"/>
          <w:b/>
          <w:bCs/>
          <w:color w:val="C45911" w:themeColor="accent2" w:themeShade="BF"/>
          <w:sz w:val="22"/>
          <w:szCs w:val="22"/>
        </w:rPr>
      </w:pPr>
    </w:p>
    <w:p w14:paraId="1A2C4099" w14:textId="77777777" w:rsidR="00CF00CF" w:rsidRPr="00007DB4" w:rsidRDefault="00CF00CF" w:rsidP="00007DB4">
      <w:pPr>
        <w:pStyle w:val="Titre1"/>
        <w:numPr>
          <w:ilvl w:val="0"/>
          <w:numId w:val="8"/>
        </w:numPr>
        <w:ind w:left="426" w:hanging="371"/>
        <w:rPr>
          <w:rFonts w:asciiTheme="minorHAnsi" w:hAnsiTheme="minorHAnsi" w:cstheme="minorHAnsi"/>
          <w:b/>
          <w:bCs/>
          <w:color w:val="000000" w:themeColor="text1"/>
          <w:sz w:val="24"/>
          <w:szCs w:val="24"/>
        </w:rPr>
      </w:pPr>
      <w:bookmarkStart w:id="55" w:name="_Toc102824239"/>
      <w:bookmarkStart w:id="56" w:name="_Toc102897395"/>
      <w:bookmarkStart w:id="57" w:name="_Toc102897610"/>
      <w:bookmarkStart w:id="58" w:name="_Toc102897671"/>
      <w:bookmarkStart w:id="59" w:name="_Toc102897749"/>
      <w:bookmarkStart w:id="60" w:name="_Toc102898061"/>
      <w:bookmarkStart w:id="61" w:name="_Toc102898110"/>
      <w:bookmarkStart w:id="62" w:name="_Toc102898167"/>
      <w:bookmarkStart w:id="63" w:name="_Toc102898214"/>
      <w:bookmarkStart w:id="64" w:name="_Toc103006577"/>
      <w:r w:rsidRPr="00007DB4">
        <w:rPr>
          <w:rFonts w:asciiTheme="minorHAnsi" w:hAnsiTheme="minorHAnsi" w:cstheme="minorHAnsi"/>
          <w:b/>
          <w:bCs/>
          <w:color w:val="000000" w:themeColor="text1"/>
          <w:sz w:val="24"/>
          <w:szCs w:val="24"/>
        </w:rPr>
        <w:t>CONCLUSION</w:t>
      </w:r>
      <w:bookmarkEnd w:id="55"/>
      <w:bookmarkEnd w:id="56"/>
      <w:bookmarkEnd w:id="57"/>
      <w:bookmarkEnd w:id="58"/>
      <w:bookmarkEnd w:id="59"/>
      <w:bookmarkEnd w:id="60"/>
      <w:bookmarkEnd w:id="61"/>
      <w:bookmarkEnd w:id="62"/>
      <w:bookmarkEnd w:id="63"/>
      <w:bookmarkEnd w:id="64"/>
    </w:p>
    <w:p w14:paraId="1AA0D10D" w14:textId="77777777" w:rsidR="00936F45" w:rsidRDefault="00936F45" w:rsidP="00CF00CF">
      <w:pPr>
        <w:spacing w:line="276" w:lineRule="auto"/>
        <w:jc w:val="both"/>
        <w:rPr>
          <w:rFonts w:ascii="Palatino Linotype" w:hAnsi="Palatino Linotype" w:cs="Times New Roman"/>
        </w:rPr>
      </w:pPr>
    </w:p>
    <w:p w14:paraId="7E688DC7" w14:textId="29C88CD1" w:rsidR="00CF00CF" w:rsidRPr="00EF099B" w:rsidRDefault="00936F45" w:rsidP="00CF00CF">
      <w:pPr>
        <w:spacing w:line="276" w:lineRule="auto"/>
        <w:jc w:val="both"/>
        <w:rPr>
          <w:rFonts w:ascii="Palatino Linotype" w:hAnsi="Palatino Linotype" w:cs="Times New Roman"/>
        </w:rPr>
      </w:pPr>
      <w:r>
        <w:rPr>
          <w:rFonts w:ascii="Palatino Linotype" w:hAnsi="Palatino Linotype"/>
        </w:rPr>
        <w:t xml:space="preserve">Le déroulement des activités du CEA AGRISAN a connu un ralentissement dont certaines causes sont associées à la stratégie. </w:t>
      </w:r>
      <w:r w:rsidR="00E23119">
        <w:rPr>
          <w:rFonts w:ascii="Palatino Linotype" w:hAnsi="Palatino Linotype"/>
        </w:rPr>
        <w:t>Aujourd’hui, c</w:t>
      </w:r>
      <w:r>
        <w:rPr>
          <w:rFonts w:ascii="Palatino Linotype" w:hAnsi="Palatino Linotype"/>
        </w:rPr>
        <w:t xml:space="preserve">es écueils ont été identifiés et des mesures d’accélération </w:t>
      </w:r>
      <w:r w:rsidR="00E23119">
        <w:rPr>
          <w:rFonts w:ascii="Palatino Linotype" w:hAnsi="Palatino Linotype"/>
        </w:rPr>
        <w:t>v</w:t>
      </w:r>
      <w:r>
        <w:rPr>
          <w:rFonts w:ascii="Palatino Linotype" w:hAnsi="Palatino Linotype"/>
        </w:rPr>
        <w:t xml:space="preserve">ont </w:t>
      </w:r>
      <w:r w:rsidR="00E23119">
        <w:rPr>
          <w:rFonts w:ascii="Palatino Linotype" w:hAnsi="Palatino Linotype"/>
        </w:rPr>
        <w:t xml:space="preserve">être </w:t>
      </w:r>
      <w:r>
        <w:rPr>
          <w:rFonts w:ascii="Palatino Linotype" w:hAnsi="Palatino Linotype"/>
        </w:rPr>
        <w:t>appliquées</w:t>
      </w:r>
      <w:r w:rsidR="00E23119">
        <w:rPr>
          <w:rFonts w:ascii="Palatino Linotype" w:hAnsi="Palatino Linotype"/>
        </w:rPr>
        <w:t xml:space="preserve"> à la mise en </w:t>
      </w:r>
      <w:proofErr w:type="spellStart"/>
      <w:r w:rsidR="00E23119">
        <w:rPr>
          <w:rFonts w:ascii="Palatino Linotype" w:hAnsi="Palatino Linotype"/>
        </w:rPr>
        <w:t>oeuvre</w:t>
      </w:r>
      <w:proofErr w:type="spellEnd"/>
      <w:r>
        <w:rPr>
          <w:rFonts w:ascii="Palatino Linotype" w:hAnsi="Palatino Linotype"/>
        </w:rPr>
        <w:t xml:space="preserve">. </w:t>
      </w:r>
      <w:r w:rsidR="00A65F41">
        <w:rPr>
          <w:rFonts w:ascii="Palatino Linotype" w:hAnsi="Palatino Linotype"/>
        </w:rPr>
        <w:t xml:space="preserve">Les marchés de fournitures et de réhabilitation engagés dans le cadre du DLI 4.3 (amélioration de l’environnement de travail) seront vite finalisés. Ceci permettra </w:t>
      </w:r>
      <w:r w:rsidR="008D72C9">
        <w:rPr>
          <w:rFonts w:ascii="Palatino Linotype" w:hAnsi="Palatino Linotype"/>
        </w:rPr>
        <w:t xml:space="preserve">d’améliorer le niveau des dépenses et en même temps, </w:t>
      </w:r>
      <w:r w:rsidR="00DA7C9C">
        <w:rPr>
          <w:rFonts w:ascii="Palatino Linotype" w:hAnsi="Palatino Linotype"/>
        </w:rPr>
        <w:t>d’</w:t>
      </w:r>
      <w:r w:rsidR="00A65F41">
        <w:rPr>
          <w:rFonts w:ascii="Palatino Linotype" w:hAnsi="Palatino Linotype"/>
        </w:rPr>
        <w:t xml:space="preserve">atteindre des jalons de ce DLI4.3 </w:t>
      </w:r>
      <w:r w:rsidR="008D72C9">
        <w:rPr>
          <w:rFonts w:ascii="Palatino Linotype" w:hAnsi="Palatino Linotype"/>
        </w:rPr>
        <w:t xml:space="preserve">pour en obtenir les gains. L’enrôlement d’une dizaine de formations pour les accréditations de programmes contribuera également à élever les niveaux de dépenses et à mobiliser les gains du DLI </w:t>
      </w:r>
      <w:r w:rsidR="00BB60B3">
        <w:rPr>
          <w:rFonts w:ascii="Palatino Linotype" w:hAnsi="Palatino Linotype"/>
        </w:rPr>
        <w:t>4.1</w:t>
      </w:r>
      <w:r w:rsidR="008D72C9">
        <w:rPr>
          <w:rFonts w:ascii="Palatino Linotype" w:hAnsi="Palatino Linotype"/>
        </w:rPr>
        <w:t xml:space="preserve">. </w:t>
      </w:r>
      <w:r w:rsidR="00BB60B3">
        <w:rPr>
          <w:rFonts w:ascii="Palatino Linotype" w:hAnsi="Palatino Linotype"/>
        </w:rPr>
        <w:t>Nous avons soumis une demande de réallocation de fonds vers le DLI 3.3, 3.4 où nous avons été plus performant. Les plan</w:t>
      </w:r>
      <w:r w:rsidR="00DA7C9C">
        <w:rPr>
          <w:rFonts w:ascii="Palatino Linotype" w:hAnsi="Palatino Linotype"/>
        </w:rPr>
        <w:t>s</w:t>
      </w:r>
      <w:r w:rsidR="00BB60B3">
        <w:rPr>
          <w:rFonts w:ascii="Palatino Linotype" w:hAnsi="Palatino Linotype"/>
        </w:rPr>
        <w:t xml:space="preserve"> d’accél</w:t>
      </w:r>
      <w:r w:rsidR="001441DB">
        <w:rPr>
          <w:rFonts w:ascii="Palatino Linotype" w:hAnsi="Palatino Linotype"/>
        </w:rPr>
        <w:t>ér</w:t>
      </w:r>
      <w:r w:rsidR="00BB60B3">
        <w:rPr>
          <w:rFonts w:ascii="Palatino Linotype" w:hAnsi="Palatino Linotype"/>
        </w:rPr>
        <w:t xml:space="preserve">ation, </w:t>
      </w:r>
      <w:r w:rsidR="001441DB">
        <w:rPr>
          <w:rFonts w:ascii="Palatino Linotype" w:hAnsi="Palatino Linotype"/>
        </w:rPr>
        <w:t xml:space="preserve">les </w:t>
      </w:r>
      <w:r w:rsidR="00BB60B3">
        <w:rPr>
          <w:rFonts w:ascii="Palatino Linotype" w:hAnsi="Palatino Linotype"/>
        </w:rPr>
        <w:t>réajustement</w:t>
      </w:r>
      <w:r w:rsidR="007D740D">
        <w:rPr>
          <w:rFonts w:ascii="Palatino Linotype" w:hAnsi="Palatino Linotype"/>
        </w:rPr>
        <w:t>s</w:t>
      </w:r>
      <w:r w:rsidR="00BB60B3">
        <w:rPr>
          <w:rFonts w:ascii="Palatino Linotype" w:hAnsi="Palatino Linotype"/>
        </w:rPr>
        <w:t xml:space="preserve"> </w:t>
      </w:r>
      <w:r w:rsidR="001441DB">
        <w:rPr>
          <w:rFonts w:ascii="Palatino Linotype" w:hAnsi="Palatino Linotype"/>
        </w:rPr>
        <w:t xml:space="preserve"> et engagement</w:t>
      </w:r>
      <w:r w:rsidR="007D740D">
        <w:rPr>
          <w:rFonts w:ascii="Palatino Linotype" w:hAnsi="Palatino Linotype"/>
        </w:rPr>
        <w:t>s</w:t>
      </w:r>
      <w:r w:rsidR="001441DB">
        <w:rPr>
          <w:rFonts w:ascii="Palatino Linotype" w:hAnsi="Palatino Linotype"/>
        </w:rPr>
        <w:t xml:space="preserve"> stratégique</w:t>
      </w:r>
      <w:r w:rsidR="007D740D">
        <w:rPr>
          <w:rFonts w:ascii="Palatino Linotype" w:hAnsi="Palatino Linotype"/>
        </w:rPr>
        <w:t>s</w:t>
      </w:r>
      <w:r w:rsidR="001441DB">
        <w:rPr>
          <w:rFonts w:ascii="Palatino Linotype" w:hAnsi="Palatino Linotype"/>
        </w:rPr>
        <w:t xml:space="preserve"> devraient sans nul doute permettre </w:t>
      </w:r>
      <w:r>
        <w:rPr>
          <w:rFonts w:ascii="Palatino Linotype" w:hAnsi="Palatino Linotype"/>
        </w:rPr>
        <w:t>un</w:t>
      </w:r>
      <w:r w:rsidR="001441DB">
        <w:rPr>
          <w:rFonts w:ascii="Palatino Linotype" w:hAnsi="Palatino Linotype"/>
        </w:rPr>
        <w:t xml:space="preserve"> rehaussement des niveaux</w:t>
      </w:r>
      <w:r>
        <w:rPr>
          <w:rFonts w:ascii="Palatino Linotype" w:hAnsi="Palatino Linotype"/>
        </w:rPr>
        <w:t xml:space="preserve"> décaissements </w:t>
      </w:r>
      <w:r w:rsidR="007D67CA">
        <w:rPr>
          <w:rFonts w:ascii="Palatino Linotype" w:hAnsi="Palatino Linotype"/>
        </w:rPr>
        <w:t xml:space="preserve">et des dépenses budgétaires </w:t>
      </w:r>
      <w:r w:rsidR="001441DB">
        <w:rPr>
          <w:rFonts w:ascii="Palatino Linotype" w:hAnsi="Palatino Linotype"/>
        </w:rPr>
        <w:t xml:space="preserve">à </w:t>
      </w:r>
      <w:r w:rsidR="007D67CA">
        <w:rPr>
          <w:rFonts w:ascii="Palatino Linotype" w:hAnsi="Palatino Linotype"/>
        </w:rPr>
        <w:t xml:space="preserve">plus de </w:t>
      </w:r>
      <w:r w:rsidR="00AB3454">
        <w:rPr>
          <w:rFonts w:ascii="Palatino Linotype" w:hAnsi="Palatino Linotype"/>
        </w:rPr>
        <w:t>25%</w:t>
      </w:r>
      <w:r w:rsidR="001441DB">
        <w:rPr>
          <w:rFonts w:ascii="Palatino Linotype" w:hAnsi="Palatino Linotype"/>
        </w:rPr>
        <w:t xml:space="preserve"> </w:t>
      </w:r>
      <w:r w:rsidR="00AB3454">
        <w:rPr>
          <w:rFonts w:ascii="Palatino Linotype" w:hAnsi="Palatino Linotype"/>
        </w:rPr>
        <w:t>d’ici la fin du mois de juillet</w:t>
      </w:r>
      <w:r w:rsidR="001441DB">
        <w:rPr>
          <w:rFonts w:ascii="Palatino Linotype" w:hAnsi="Palatino Linotype"/>
        </w:rPr>
        <w:t xml:space="preserve"> 2022</w:t>
      </w:r>
      <w:r>
        <w:rPr>
          <w:rFonts w:ascii="Palatino Linotype" w:hAnsi="Palatino Linotype"/>
        </w:rPr>
        <w:t>.</w:t>
      </w:r>
      <w:r w:rsidR="00825C13">
        <w:rPr>
          <w:rFonts w:ascii="Palatino Linotype" w:hAnsi="Palatino Linotype"/>
        </w:rPr>
        <w:t xml:space="preserve"> Les équipements qui seront disponibles sous peu permettront d’améliorer l’environnement de travail et le service à la communauté. </w:t>
      </w:r>
      <w:r w:rsidR="00825C13">
        <w:rPr>
          <w:rFonts w:ascii="Palatino Linotype" w:hAnsi="Palatino Linotype"/>
        </w:rPr>
        <w:lastRenderedPageBreak/>
        <w:t>L’engagement dans la démarche qualité</w:t>
      </w:r>
      <w:r w:rsidR="00EF099B">
        <w:rPr>
          <w:rFonts w:ascii="Palatino Linotype" w:hAnsi="Palatino Linotype"/>
        </w:rPr>
        <w:t xml:space="preserve">, la mobilité des enseignants et des étudiants </w:t>
      </w:r>
      <w:r w:rsidR="00825C13">
        <w:rPr>
          <w:rFonts w:ascii="Palatino Linotype" w:hAnsi="Palatino Linotype"/>
        </w:rPr>
        <w:t>permettr</w:t>
      </w:r>
      <w:r w:rsidR="00EF099B">
        <w:rPr>
          <w:rFonts w:ascii="Palatino Linotype" w:hAnsi="Palatino Linotype"/>
        </w:rPr>
        <w:t>ont</w:t>
      </w:r>
      <w:r w:rsidR="00825C13">
        <w:rPr>
          <w:rFonts w:ascii="Palatino Linotype" w:hAnsi="Palatino Linotype"/>
        </w:rPr>
        <w:t xml:space="preserve"> d’assoir </w:t>
      </w:r>
      <w:r w:rsidR="00EF099B">
        <w:rPr>
          <w:rFonts w:ascii="Palatino Linotype" w:hAnsi="Palatino Linotype"/>
        </w:rPr>
        <w:t>la culture de l’excellence et de promouvoir l’ouverture à l’internationale</w:t>
      </w:r>
      <w:r w:rsidR="00EF099B">
        <w:rPr>
          <w:rFonts w:ascii="Palatino Linotype" w:hAnsi="Palatino Linotype" w:cs="Times New Roman"/>
        </w:rPr>
        <w:t xml:space="preserve">. </w:t>
      </w:r>
    </w:p>
    <w:p w14:paraId="0C1405D7" w14:textId="77777777" w:rsidR="00CF00CF" w:rsidRDefault="00CF00CF" w:rsidP="00CF00CF">
      <w:pPr>
        <w:spacing w:line="276" w:lineRule="auto"/>
        <w:jc w:val="both"/>
        <w:rPr>
          <w:rFonts w:ascii="Palatino Linotype" w:hAnsi="Palatino Linotype" w:cs="Times New Roman"/>
        </w:rPr>
      </w:pPr>
    </w:p>
    <w:p w14:paraId="7730D29B" w14:textId="77777777" w:rsidR="00CF00CF" w:rsidRPr="001D6584" w:rsidRDefault="00CF00CF" w:rsidP="00CF00CF">
      <w:pPr>
        <w:rPr>
          <w:rFonts w:ascii="Palatino Linotype" w:hAnsi="Palatino Linotype" w:cs="Times New Roman"/>
        </w:rPr>
      </w:pPr>
    </w:p>
    <w:p w14:paraId="270C8BC8" w14:textId="77777777" w:rsidR="00CF00CF" w:rsidRDefault="00CF00CF" w:rsidP="00CF00CF">
      <w:pPr>
        <w:jc w:val="both"/>
        <w:rPr>
          <w:rFonts w:ascii="Palatino Linotype" w:hAnsi="Palatino Linotype" w:cs="Times New Roman"/>
          <w:b/>
          <w:bCs/>
        </w:rPr>
      </w:pPr>
      <w:r>
        <w:rPr>
          <w:rFonts w:ascii="Palatino Linotype" w:hAnsi="Palatino Linotype" w:cs="Times New Roman"/>
          <w:b/>
          <w:bCs/>
        </w:rPr>
        <w:t xml:space="preserve">Date :                                                                                </w:t>
      </w:r>
    </w:p>
    <w:p w14:paraId="275B3AB8" w14:textId="77777777" w:rsidR="00CF00CF" w:rsidRDefault="00CF00CF" w:rsidP="00CF00CF">
      <w:pPr>
        <w:jc w:val="both"/>
        <w:rPr>
          <w:rFonts w:ascii="Palatino Linotype" w:hAnsi="Palatino Linotype" w:cs="Times New Roman"/>
          <w:b/>
          <w:bCs/>
        </w:rPr>
      </w:pPr>
    </w:p>
    <w:p w14:paraId="71E86E1F" w14:textId="77777777" w:rsidR="00CF00CF" w:rsidRDefault="00CF00CF" w:rsidP="00CF00CF">
      <w:pPr>
        <w:jc w:val="both"/>
        <w:rPr>
          <w:rFonts w:ascii="Palatino Linotype" w:hAnsi="Palatino Linotype" w:cs="Times New Roman"/>
          <w:b/>
          <w:bCs/>
        </w:rPr>
      </w:pPr>
    </w:p>
    <w:p w14:paraId="7CD58DD3" w14:textId="77777777" w:rsidR="00CF00CF" w:rsidRDefault="00CF00CF" w:rsidP="00CF00CF">
      <w:pPr>
        <w:jc w:val="both"/>
        <w:rPr>
          <w:rFonts w:ascii="Palatino Linotype" w:hAnsi="Palatino Linotype" w:cs="Times New Roman"/>
          <w:b/>
          <w:bCs/>
        </w:rPr>
      </w:pPr>
    </w:p>
    <w:p w14:paraId="27AECD84" w14:textId="77777777" w:rsidR="00CF00CF" w:rsidRDefault="00CF00CF" w:rsidP="00CF00CF">
      <w:pPr>
        <w:jc w:val="both"/>
        <w:rPr>
          <w:rFonts w:ascii="Palatino Linotype" w:hAnsi="Palatino Linotype" w:cs="Times New Roman"/>
          <w:b/>
          <w:bCs/>
        </w:rPr>
      </w:pPr>
    </w:p>
    <w:p w14:paraId="780F1026" w14:textId="77777777" w:rsidR="00CF00CF" w:rsidRDefault="00CF00CF" w:rsidP="00CF00CF">
      <w:pPr>
        <w:jc w:val="both"/>
        <w:rPr>
          <w:rFonts w:ascii="Palatino Linotype" w:hAnsi="Palatino Linotype" w:cs="Times New Roman"/>
          <w:b/>
          <w:bCs/>
        </w:rPr>
      </w:pPr>
      <w:r>
        <w:rPr>
          <w:rFonts w:ascii="Palatino Linotype" w:hAnsi="Palatino Linotype" w:cs="Times New Roman"/>
          <w:b/>
          <w:bCs/>
        </w:rPr>
        <w:t xml:space="preserve">                                                                                             Signature :</w:t>
      </w:r>
    </w:p>
    <w:p w14:paraId="4E894671" w14:textId="77777777" w:rsidR="00CF00CF" w:rsidRDefault="00CF00CF" w:rsidP="00CF00CF">
      <w:pPr>
        <w:jc w:val="both"/>
        <w:rPr>
          <w:rFonts w:ascii="Palatino Linotype" w:hAnsi="Palatino Linotype" w:cs="Times New Roman"/>
          <w:b/>
          <w:bCs/>
        </w:rPr>
      </w:pPr>
    </w:p>
    <w:p w14:paraId="2912B7DB" w14:textId="77777777" w:rsidR="00CF00CF" w:rsidRDefault="00CF00CF" w:rsidP="00BF13A3">
      <w:pPr>
        <w:jc w:val="both"/>
        <w:rPr>
          <w:rFonts w:cs="Calibri"/>
          <w:color w:val="000000"/>
        </w:rPr>
      </w:pPr>
    </w:p>
    <w:p w14:paraId="0A6DB47C" w14:textId="2DB1A87A" w:rsidR="00CF00CF" w:rsidRDefault="00CF00CF" w:rsidP="00BF13A3">
      <w:pPr>
        <w:jc w:val="both"/>
        <w:rPr>
          <w:rFonts w:cs="Calibri"/>
          <w:color w:val="000000"/>
        </w:rPr>
      </w:pPr>
    </w:p>
    <w:p w14:paraId="13992957" w14:textId="77777777" w:rsidR="00CF00CF" w:rsidRPr="0063361B" w:rsidRDefault="00CF00CF" w:rsidP="00BF13A3">
      <w:pPr>
        <w:jc w:val="both"/>
        <w:rPr>
          <w:rFonts w:ascii="Times New Roman" w:hAnsi="Times New Roman" w:cs="Times New Roman"/>
        </w:rPr>
      </w:pPr>
    </w:p>
    <w:p w14:paraId="5CF88569" w14:textId="4522EB54" w:rsidR="00BF13A3" w:rsidRDefault="00BF13A3" w:rsidP="00BF13A3">
      <w:pPr>
        <w:jc w:val="both"/>
        <w:rPr>
          <w:rFonts w:ascii="Times New Roman" w:hAnsi="Times New Roman" w:cs="Times New Roman"/>
        </w:rPr>
      </w:pPr>
    </w:p>
    <w:p w14:paraId="20BBF265" w14:textId="77777777" w:rsidR="00BF13A3" w:rsidRDefault="00BF13A3" w:rsidP="00BF13A3">
      <w:pPr>
        <w:jc w:val="both"/>
        <w:rPr>
          <w:rFonts w:ascii="Times New Roman" w:hAnsi="Times New Roman" w:cs="Times New Roman"/>
        </w:rPr>
        <w:sectPr w:rsidR="00BF13A3" w:rsidSect="00811C50">
          <w:pgSz w:w="11900" w:h="16840"/>
          <w:pgMar w:top="1417" w:right="1417" w:bottom="1417" w:left="1417" w:header="708" w:footer="708" w:gutter="0"/>
          <w:cols w:space="708"/>
          <w:titlePg/>
          <w:docGrid w:linePitch="360"/>
        </w:sectPr>
      </w:pPr>
    </w:p>
    <w:p w14:paraId="67AADBB7" w14:textId="43153E4A" w:rsidR="00BF13A3" w:rsidRDefault="00BF13A3" w:rsidP="00811C50">
      <w:pPr>
        <w:pStyle w:val="Titre1"/>
      </w:pPr>
      <w:bookmarkStart w:id="65" w:name="_Toc102897672"/>
      <w:bookmarkStart w:id="66" w:name="_Toc102897750"/>
      <w:bookmarkStart w:id="67" w:name="_Toc102898062"/>
      <w:bookmarkStart w:id="68" w:name="_Toc102898111"/>
      <w:bookmarkStart w:id="69" w:name="_Toc102898168"/>
      <w:bookmarkStart w:id="70" w:name="_Toc102898215"/>
      <w:bookmarkStart w:id="71" w:name="_Toc103006578"/>
      <w:r>
        <w:lastRenderedPageBreak/>
        <w:t>DOCUMENTS ANNEXES</w:t>
      </w:r>
      <w:bookmarkEnd w:id="65"/>
      <w:bookmarkEnd w:id="66"/>
      <w:bookmarkEnd w:id="67"/>
      <w:bookmarkEnd w:id="68"/>
      <w:bookmarkEnd w:id="69"/>
      <w:bookmarkEnd w:id="70"/>
      <w:bookmarkEnd w:id="71"/>
    </w:p>
    <w:p w14:paraId="466D2E1D" w14:textId="2DB7A8C6" w:rsidR="00BF13A3" w:rsidRDefault="00BF13A3" w:rsidP="00BF13A3">
      <w:pPr>
        <w:jc w:val="both"/>
        <w:rPr>
          <w:rFonts w:ascii="Times New Roman" w:hAnsi="Times New Roman" w:cs="Times New Roman"/>
        </w:rPr>
      </w:pPr>
    </w:p>
    <w:p w14:paraId="40993506" w14:textId="33820278" w:rsidR="00A2676B" w:rsidRPr="00771D3F" w:rsidRDefault="00024D90" w:rsidP="00FA5E85">
      <w:pPr>
        <w:pStyle w:val="Titre2"/>
      </w:pPr>
      <w:bookmarkStart w:id="72" w:name="_Toc102898112"/>
      <w:bookmarkStart w:id="73" w:name="_Toc102898169"/>
      <w:bookmarkStart w:id="74" w:name="_Toc102898216"/>
      <w:bookmarkStart w:id="75" w:name="_Toc103006579"/>
      <w:r>
        <w:t>Annexe</w:t>
      </w:r>
      <w:r w:rsidR="00A2676B" w:rsidRPr="00771D3F">
        <w:t xml:space="preserve"> 1 : </w:t>
      </w:r>
      <w:proofErr w:type="spellStart"/>
      <w:r w:rsidR="00014E6C" w:rsidRPr="00771D3F">
        <w:t>Etat</w:t>
      </w:r>
      <w:proofErr w:type="spellEnd"/>
      <w:r w:rsidR="00014E6C" w:rsidRPr="00771D3F">
        <w:t xml:space="preserve"> d’exécution des </w:t>
      </w:r>
      <w:r w:rsidR="00A2676B" w:rsidRPr="00771D3F">
        <w:t>Marchés de fournitures et de travaux / DLI 4.3</w:t>
      </w:r>
      <w:bookmarkEnd w:id="72"/>
      <w:bookmarkEnd w:id="73"/>
      <w:bookmarkEnd w:id="74"/>
      <w:bookmarkEnd w:id="75"/>
    </w:p>
    <w:tbl>
      <w:tblPr>
        <w:tblW w:w="10153" w:type="dxa"/>
        <w:tblInd w:w="-431" w:type="dxa"/>
        <w:tblLayout w:type="fixed"/>
        <w:tblCellMar>
          <w:left w:w="0" w:type="dxa"/>
          <w:right w:w="0" w:type="dxa"/>
        </w:tblCellMar>
        <w:tblLook w:val="0600" w:firstRow="0" w:lastRow="0" w:firstColumn="0" w:lastColumn="0" w:noHBand="1" w:noVBand="1"/>
      </w:tblPr>
      <w:tblGrid>
        <w:gridCol w:w="2834"/>
        <w:gridCol w:w="992"/>
        <w:gridCol w:w="999"/>
        <w:gridCol w:w="1127"/>
        <w:gridCol w:w="1418"/>
        <w:gridCol w:w="1136"/>
        <w:gridCol w:w="567"/>
        <w:gridCol w:w="1071"/>
        <w:gridCol w:w="9"/>
      </w:tblGrid>
      <w:tr w:rsidR="000A3553" w:rsidRPr="009806F4" w14:paraId="6C9D8B4B" w14:textId="77777777" w:rsidTr="009806F4">
        <w:trPr>
          <w:gridAfter w:val="1"/>
          <w:wAfter w:w="9" w:type="dxa"/>
          <w:trHeight w:val="1034"/>
        </w:trPr>
        <w:tc>
          <w:tcPr>
            <w:tcW w:w="28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3FC88090" w14:textId="77777777" w:rsidR="000A3553" w:rsidRPr="00A2676B"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Description</w:t>
            </w:r>
          </w:p>
        </w:tc>
        <w:tc>
          <w:tcPr>
            <w:tcW w:w="992" w:type="dxa"/>
            <w:tcBorders>
              <w:top w:val="single" w:sz="4" w:space="0" w:color="000000"/>
              <w:left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35985A7C" w14:textId="6B6B9F3F" w:rsidR="000A3553" w:rsidRPr="009806F4"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Type</w:t>
            </w:r>
          </w:p>
          <w:p w14:paraId="09F8E996" w14:textId="30D41F3D" w:rsidR="000A3553" w:rsidRPr="00A2676B"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de marché</w:t>
            </w:r>
          </w:p>
        </w:tc>
        <w:tc>
          <w:tcPr>
            <w:tcW w:w="999" w:type="dxa"/>
            <w:tcBorders>
              <w:top w:val="single" w:sz="4" w:space="0" w:color="000000"/>
              <w:left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766E8BD5" w14:textId="1AC918F8" w:rsidR="000A3553" w:rsidRPr="009806F4"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Mode</w:t>
            </w:r>
          </w:p>
          <w:p w14:paraId="2D25C7BB" w14:textId="09F7706E" w:rsidR="000A3553" w:rsidRPr="00A2676B"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de passation</w:t>
            </w:r>
          </w:p>
        </w:tc>
        <w:tc>
          <w:tcPr>
            <w:tcW w:w="1127" w:type="dxa"/>
            <w:tcBorders>
              <w:top w:val="single" w:sz="4" w:space="0" w:color="000000"/>
              <w:left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33039F2D" w14:textId="2FCF96EB" w:rsidR="000A3553" w:rsidRPr="009806F4"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Montant du contrat en</w:t>
            </w:r>
          </w:p>
          <w:p w14:paraId="1D6C192B" w14:textId="2CFE5A84" w:rsidR="000A3553" w:rsidRPr="00A2676B"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F CFA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570E3DFE" w14:textId="77777777" w:rsidR="000A3553" w:rsidRPr="00A2676B"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Nom du fournisseur attributaire</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586D1C07" w14:textId="49DD9162" w:rsidR="000A3553" w:rsidRPr="00A2676B" w:rsidRDefault="000A3553" w:rsidP="009806F4">
            <w:pPr>
              <w:jc w:val="center"/>
              <w:rPr>
                <w:rFonts w:ascii="Times New Roman" w:hAnsi="Times New Roman" w:cs="Times New Roman"/>
                <w:b/>
                <w:bCs/>
                <w:sz w:val="20"/>
                <w:szCs w:val="20"/>
              </w:rPr>
            </w:pPr>
            <w:r w:rsidRPr="00A2676B">
              <w:rPr>
                <w:rFonts w:ascii="Times New Roman" w:hAnsi="Times New Roman" w:cs="Times New Roman"/>
                <w:b/>
                <w:bCs/>
                <w:sz w:val="20"/>
                <w:szCs w:val="20"/>
              </w:rPr>
              <w:t>Observation</w:t>
            </w:r>
          </w:p>
        </w:tc>
        <w:tc>
          <w:tcPr>
            <w:tcW w:w="567" w:type="dxa"/>
            <w:tcBorders>
              <w:top w:val="single" w:sz="4" w:space="0" w:color="000000"/>
              <w:left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6CD921D1" w14:textId="5EB3A57F" w:rsidR="000A3553" w:rsidRPr="00A2676B" w:rsidRDefault="000A3553" w:rsidP="009806F4">
            <w:pPr>
              <w:jc w:val="center"/>
              <w:rPr>
                <w:rFonts w:ascii="Times New Roman" w:hAnsi="Times New Roman" w:cs="Times New Roman"/>
                <w:b/>
                <w:bCs/>
                <w:sz w:val="21"/>
                <w:szCs w:val="21"/>
              </w:rPr>
            </w:pPr>
            <w:r w:rsidRPr="009806F4">
              <w:rPr>
                <w:rFonts w:ascii="Times New Roman" w:hAnsi="Times New Roman" w:cs="Times New Roman"/>
                <w:b/>
                <w:bCs/>
                <w:sz w:val="21"/>
                <w:szCs w:val="21"/>
              </w:rPr>
              <w:t>No Lot</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 w:type="dxa"/>
              <w:left w:w="4" w:type="dxa"/>
              <w:bottom w:w="20" w:type="dxa"/>
              <w:right w:w="4" w:type="dxa"/>
            </w:tcMar>
            <w:vAlign w:val="center"/>
            <w:hideMark/>
          </w:tcPr>
          <w:p w14:paraId="60F330A1" w14:textId="77777777" w:rsidR="000A3553" w:rsidRPr="00A2676B" w:rsidRDefault="000A3553" w:rsidP="009806F4">
            <w:pPr>
              <w:jc w:val="center"/>
              <w:rPr>
                <w:rFonts w:ascii="Times New Roman" w:hAnsi="Times New Roman" w:cs="Times New Roman"/>
                <w:b/>
                <w:bCs/>
                <w:sz w:val="21"/>
                <w:szCs w:val="21"/>
              </w:rPr>
            </w:pPr>
            <w:r w:rsidRPr="00A2676B">
              <w:rPr>
                <w:rFonts w:ascii="Times New Roman" w:hAnsi="Times New Roman" w:cs="Times New Roman"/>
                <w:b/>
                <w:bCs/>
                <w:sz w:val="21"/>
                <w:szCs w:val="21"/>
              </w:rPr>
              <w:t>Statut</w:t>
            </w:r>
          </w:p>
        </w:tc>
      </w:tr>
      <w:tr w:rsidR="00A2676B" w:rsidRPr="00A2676B" w14:paraId="45783F2E" w14:textId="77777777" w:rsidTr="000A3553">
        <w:trPr>
          <w:gridAfter w:val="1"/>
          <w:wAfter w:w="9" w:type="dxa"/>
          <w:trHeight w:val="635"/>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421C83E"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Acquisition d’équipements de laboratoires et des équipements pédagogiques dans les sites d'enseignement et de recherche (lot 2 Matériel pédagogique)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F0BBDAD"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Fourniture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07876CE"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AOO</w:t>
            </w:r>
          </w:p>
        </w:tc>
        <w:tc>
          <w:tcPr>
            <w:tcW w:w="1127" w:type="dxa"/>
            <w:tcBorders>
              <w:top w:val="single" w:sz="4" w:space="0" w:color="000000"/>
              <w:left w:val="single" w:sz="4" w:space="0" w:color="000000"/>
              <w:bottom w:val="single" w:sz="4" w:space="0" w:color="000000"/>
              <w:right w:val="single" w:sz="4" w:space="0" w:color="000000"/>
            </w:tcBorders>
            <w:shd w:val="clear" w:color="auto" w:fill="FFF2CC"/>
            <w:tcMar>
              <w:top w:w="4" w:type="dxa"/>
              <w:left w:w="4" w:type="dxa"/>
              <w:bottom w:w="20" w:type="dxa"/>
              <w:right w:w="4" w:type="dxa"/>
            </w:tcMar>
            <w:vAlign w:val="center"/>
            <w:hideMark/>
          </w:tcPr>
          <w:p w14:paraId="68729852"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19 969 024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F4A79AD" w14:textId="40E7D51B" w:rsidR="00A2676B" w:rsidRPr="00A2676B" w:rsidRDefault="00014E6C" w:rsidP="00014E6C">
            <w:pPr>
              <w:jc w:val="center"/>
              <w:rPr>
                <w:rFonts w:ascii="Times New Roman" w:hAnsi="Times New Roman" w:cs="Times New Roman"/>
                <w:sz w:val="20"/>
                <w:szCs w:val="20"/>
              </w:rPr>
            </w:pPr>
            <w:r w:rsidRPr="00A2676B">
              <w:rPr>
                <w:rFonts w:ascii="Times New Roman" w:hAnsi="Times New Roman" w:cs="Times New Roman"/>
                <w:sz w:val="20"/>
                <w:szCs w:val="20"/>
              </w:rPr>
              <w:t>Master Office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72AAD4D"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Réception partielle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7B473970"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FFF2CC"/>
            <w:tcMar>
              <w:top w:w="4" w:type="dxa"/>
              <w:left w:w="4" w:type="dxa"/>
              <w:bottom w:w="20" w:type="dxa"/>
              <w:right w:w="4" w:type="dxa"/>
            </w:tcMar>
            <w:vAlign w:val="center"/>
            <w:hideMark/>
          </w:tcPr>
          <w:p w14:paraId="76736F0D"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50DE71F7" w14:textId="77777777" w:rsidTr="000A3553">
        <w:trPr>
          <w:gridAfter w:val="1"/>
          <w:wAfter w:w="9" w:type="dxa"/>
          <w:trHeight w:val="342"/>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4F812AB" w14:textId="69836D85"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Acquisition d’équipements de laboratoires et des équipements pédagogiques dans les sites d'enseignement et de recherche Lot 1 réparti en articles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BF0F8DF"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Fourniture</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688592E"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AOO</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D966"/>
            <w:tcMar>
              <w:top w:w="4" w:type="dxa"/>
              <w:left w:w="4" w:type="dxa"/>
              <w:bottom w:w="20" w:type="dxa"/>
              <w:right w:w="4" w:type="dxa"/>
            </w:tcMar>
            <w:vAlign w:val="center"/>
            <w:hideMark/>
          </w:tcPr>
          <w:p w14:paraId="47D20F34"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6 080 202</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09E2165" w14:textId="250C4D9F" w:rsidR="00A2676B" w:rsidRPr="00A2676B" w:rsidRDefault="00014E6C" w:rsidP="00014E6C">
            <w:pPr>
              <w:jc w:val="center"/>
              <w:rPr>
                <w:rFonts w:ascii="Times New Roman" w:hAnsi="Times New Roman" w:cs="Times New Roman"/>
                <w:sz w:val="20"/>
                <w:szCs w:val="20"/>
              </w:rPr>
            </w:pPr>
            <w:proofErr w:type="spellStart"/>
            <w:r w:rsidRPr="00A2676B">
              <w:rPr>
                <w:rFonts w:ascii="Times New Roman" w:hAnsi="Times New Roman" w:cs="Times New Roman"/>
                <w:sz w:val="20"/>
                <w:szCs w:val="20"/>
              </w:rPr>
              <w:t>Bouattour</w:t>
            </w:r>
            <w:proofErr w:type="spellEnd"/>
            <w:r w:rsidRPr="00A2676B">
              <w:rPr>
                <w:rFonts w:ascii="Times New Roman" w:hAnsi="Times New Roman" w:cs="Times New Roman"/>
                <w:sz w:val="20"/>
                <w:szCs w:val="20"/>
              </w:rPr>
              <w:t xml:space="preserve"> </w:t>
            </w:r>
            <w:proofErr w:type="spellStart"/>
            <w:r w:rsidRPr="00A2676B">
              <w:rPr>
                <w:rFonts w:ascii="Times New Roman" w:hAnsi="Times New Roman" w:cs="Times New Roman"/>
                <w:sz w:val="20"/>
                <w:szCs w:val="20"/>
              </w:rPr>
              <w:t>Equipements</w:t>
            </w:r>
            <w:proofErr w:type="spellEnd"/>
            <w:r w:rsidRPr="00A2676B">
              <w:rPr>
                <w:rFonts w:ascii="Times New Roman" w:hAnsi="Times New Roman" w:cs="Times New Roman"/>
                <w:sz w:val="20"/>
                <w:szCs w:val="20"/>
              </w:rPr>
              <w:t xml:space="preserve"> Services (</w:t>
            </w:r>
            <w:proofErr w:type="spellStart"/>
            <w:r w:rsidRPr="00A2676B">
              <w:rPr>
                <w:rFonts w:ascii="Times New Roman" w:hAnsi="Times New Roman" w:cs="Times New Roman"/>
                <w:sz w:val="20"/>
                <w:szCs w:val="20"/>
              </w:rPr>
              <w:t>Bes</w:t>
            </w:r>
            <w:proofErr w:type="spellEnd"/>
            <w:r w:rsidRPr="00A2676B">
              <w:rPr>
                <w:rFonts w:ascii="Times New Roman" w:hAnsi="Times New Roman" w:cs="Times New Roman"/>
                <w:sz w:val="20"/>
                <w:szCs w:val="20"/>
              </w:rPr>
              <w:t>)</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D7401ED"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En cours d’exécution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567A9998"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FFD966"/>
            <w:tcMar>
              <w:top w:w="4" w:type="dxa"/>
              <w:left w:w="4" w:type="dxa"/>
              <w:bottom w:w="20" w:type="dxa"/>
              <w:right w:w="4" w:type="dxa"/>
            </w:tcMar>
            <w:vAlign w:val="bottom"/>
            <w:hideMark/>
          </w:tcPr>
          <w:p w14:paraId="38633469"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Réceptionné et non encore payé</w:t>
            </w:r>
          </w:p>
        </w:tc>
      </w:tr>
      <w:tr w:rsidR="00A2676B" w:rsidRPr="00A2676B" w14:paraId="6A67AB7A" w14:textId="77777777" w:rsidTr="000A3553">
        <w:trPr>
          <w:gridAfter w:val="1"/>
          <w:wAfter w:w="9" w:type="dxa"/>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6C271D6E"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3A0F7D4"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41505090" w14:textId="77777777" w:rsidR="00A2676B" w:rsidRPr="00A2676B" w:rsidRDefault="00A2676B" w:rsidP="009806F4">
            <w:pPr>
              <w:jc w:val="center"/>
              <w:rPr>
                <w:rFonts w:ascii="Times New Roman" w:hAnsi="Times New Roman" w:cs="Times New Roman"/>
                <w:sz w:val="21"/>
                <w:szCs w:val="21"/>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14:paraId="412F8844" w14:textId="77777777" w:rsidR="00A2676B" w:rsidRPr="00A2676B" w:rsidRDefault="00A2676B" w:rsidP="00A2676B">
            <w:pPr>
              <w:jc w:val="right"/>
              <w:rPr>
                <w:rFonts w:ascii="Times New Roman" w:hAnsi="Times New Roman" w:cs="Times New Roman"/>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78B7E61" w14:textId="77777777" w:rsidR="00A2676B" w:rsidRPr="00A2676B" w:rsidRDefault="00A2676B" w:rsidP="00014E6C">
            <w:pPr>
              <w:jc w:val="center"/>
              <w:rPr>
                <w:rFonts w:ascii="Times New Roman" w:hAnsi="Times New Roman" w:cs="Times New Roman"/>
                <w:sz w:val="20"/>
                <w:szCs w:val="20"/>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1D7C3BBD"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420C75BC"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30D9059"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61F1CCCC" w14:textId="77777777" w:rsidTr="000A3553">
        <w:trPr>
          <w:gridAfter w:val="1"/>
          <w:wAfter w:w="9" w:type="dxa"/>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428AA018"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B2C9B8C"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59583A1A" w14:textId="77777777" w:rsidR="00A2676B" w:rsidRPr="00A2676B" w:rsidRDefault="00A2676B" w:rsidP="009806F4">
            <w:pPr>
              <w:jc w:val="center"/>
              <w:rPr>
                <w:rFonts w:ascii="Times New Roman" w:hAnsi="Times New Roman" w:cs="Times New Roman"/>
                <w:sz w:val="21"/>
                <w:szCs w:val="21"/>
              </w:rPr>
            </w:pPr>
          </w:p>
        </w:tc>
        <w:tc>
          <w:tcPr>
            <w:tcW w:w="1127" w:type="dxa"/>
            <w:vMerge w:val="restart"/>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8B9D508"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18 574 625</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C2E68B9" w14:textId="5E61FA4C" w:rsidR="00A2676B" w:rsidRPr="00A2676B" w:rsidRDefault="00014E6C" w:rsidP="00014E6C">
            <w:pPr>
              <w:jc w:val="center"/>
              <w:rPr>
                <w:rFonts w:ascii="Times New Roman" w:hAnsi="Times New Roman" w:cs="Times New Roman"/>
                <w:sz w:val="20"/>
                <w:szCs w:val="20"/>
              </w:rPr>
            </w:pPr>
            <w:r w:rsidRPr="00A2676B">
              <w:rPr>
                <w:rFonts w:ascii="Times New Roman" w:hAnsi="Times New Roman" w:cs="Times New Roman"/>
                <w:sz w:val="20"/>
                <w:szCs w:val="20"/>
              </w:rPr>
              <w:t xml:space="preserve">Delta </w:t>
            </w:r>
            <w:proofErr w:type="spellStart"/>
            <w:r w:rsidRPr="00A2676B">
              <w:rPr>
                <w:rFonts w:ascii="Times New Roman" w:hAnsi="Times New Roman" w:cs="Times New Roman"/>
                <w:sz w:val="20"/>
                <w:szCs w:val="20"/>
              </w:rPr>
              <w:t>Medical</w:t>
            </w:r>
            <w:proofErr w:type="spellEnd"/>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1B7472BA"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5D62043D"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4497A9E"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0E5CD7BF" w14:textId="77777777" w:rsidTr="000A3553">
        <w:trPr>
          <w:gridAfter w:val="1"/>
          <w:wAfter w:w="9" w:type="dxa"/>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0DF47CEC"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7692021"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17028D40" w14:textId="77777777" w:rsidR="00A2676B" w:rsidRPr="00A2676B" w:rsidRDefault="00A2676B" w:rsidP="009806F4">
            <w:pPr>
              <w:jc w:val="center"/>
              <w:rPr>
                <w:rFonts w:ascii="Times New Roman" w:hAnsi="Times New Roman" w:cs="Times New Roman"/>
                <w:sz w:val="21"/>
                <w:szCs w:val="21"/>
              </w:rPr>
            </w:pPr>
          </w:p>
        </w:tc>
        <w:tc>
          <w:tcPr>
            <w:tcW w:w="1127" w:type="dxa"/>
            <w:vMerge/>
            <w:tcBorders>
              <w:top w:val="single" w:sz="4" w:space="0" w:color="000000"/>
              <w:left w:val="single" w:sz="8" w:space="0" w:color="000000"/>
              <w:bottom w:val="single" w:sz="4" w:space="0" w:color="000000"/>
              <w:right w:val="single" w:sz="4" w:space="0" w:color="000000"/>
            </w:tcBorders>
            <w:vAlign w:val="center"/>
            <w:hideMark/>
          </w:tcPr>
          <w:p w14:paraId="57F17C15" w14:textId="77777777" w:rsidR="00A2676B" w:rsidRPr="00A2676B" w:rsidRDefault="00A2676B" w:rsidP="00A2676B">
            <w:pPr>
              <w:jc w:val="right"/>
              <w:rPr>
                <w:rFonts w:ascii="Times New Roman" w:hAnsi="Times New Roman" w:cs="Times New Roman"/>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632156E" w14:textId="77777777" w:rsidR="00A2676B" w:rsidRPr="00A2676B" w:rsidRDefault="00A2676B" w:rsidP="00014E6C">
            <w:pPr>
              <w:jc w:val="center"/>
              <w:rPr>
                <w:rFonts w:ascii="Times New Roman" w:hAnsi="Times New Roman" w:cs="Times New Roman"/>
                <w:sz w:val="20"/>
                <w:szCs w:val="20"/>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2A6D1B11"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36B4298D"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8AADFEA"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22324308" w14:textId="77777777" w:rsidTr="000A3553">
        <w:trPr>
          <w:gridAfter w:val="1"/>
          <w:wAfter w:w="9" w:type="dxa"/>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57277B82"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0B9FD06"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1A2C9E02" w14:textId="77777777" w:rsidR="00A2676B" w:rsidRPr="00A2676B" w:rsidRDefault="00A2676B" w:rsidP="009806F4">
            <w:pPr>
              <w:jc w:val="center"/>
              <w:rPr>
                <w:rFonts w:ascii="Times New Roman" w:hAnsi="Times New Roman" w:cs="Times New Roman"/>
                <w:sz w:val="21"/>
                <w:szCs w:val="21"/>
              </w:rPr>
            </w:pPr>
          </w:p>
        </w:tc>
        <w:tc>
          <w:tcPr>
            <w:tcW w:w="1127" w:type="dxa"/>
            <w:vMerge w:val="restart"/>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CB66980"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14 642 925</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CFA24DF" w14:textId="06D1EE67" w:rsidR="00A2676B" w:rsidRPr="00A2676B" w:rsidRDefault="00014E6C" w:rsidP="00014E6C">
            <w:pPr>
              <w:jc w:val="center"/>
              <w:rPr>
                <w:rFonts w:ascii="Times New Roman" w:hAnsi="Times New Roman" w:cs="Times New Roman"/>
                <w:sz w:val="20"/>
                <w:szCs w:val="20"/>
              </w:rPr>
            </w:pPr>
            <w:proofErr w:type="spellStart"/>
            <w:r w:rsidRPr="00A2676B">
              <w:rPr>
                <w:rFonts w:ascii="Times New Roman" w:hAnsi="Times New Roman" w:cs="Times New Roman"/>
                <w:sz w:val="20"/>
                <w:szCs w:val="20"/>
              </w:rPr>
              <w:t>Fermon</w:t>
            </w:r>
            <w:proofErr w:type="spellEnd"/>
            <w:r w:rsidRPr="00A2676B">
              <w:rPr>
                <w:rFonts w:ascii="Times New Roman" w:hAnsi="Times New Roman" w:cs="Times New Roman"/>
                <w:sz w:val="20"/>
                <w:szCs w:val="20"/>
              </w:rPr>
              <w:t xml:space="preserve"> Labo</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636562E4"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438FA38A"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881AF62"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60C487E8" w14:textId="77777777" w:rsidTr="000A3553">
        <w:trPr>
          <w:gridAfter w:val="1"/>
          <w:wAfter w:w="9" w:type="dxa"/>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73281407"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3953E29"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6F7EA134" w14:textId="77777777" w:rsidR="00A2676B" w:rsidRPr="00A2676B" w:rsidRDefault="00A2676B" w:rsidP="009806F4">
            <w:pPr>
              <w:jc w:val="center"/>
              <w:rPr>
                <w:rFonts w:ascii="Times New Roman" w:hAnsi="Times New Roman" w:cs="Times New Roman"/>
                <w:sz w:val="21"/>
                <w:szCs w:val="21"/>
              </w:rPr>
            </w:pPr>
          </w:p>
        </w:tc>
        <w:tc>
          <w:tcPr>
            <w:tcW w:w="1127" w:type="dxa"/>
            <w:vMerge/>
            <w:tcBorders>
              <w:top w:val="single" w:sz="4" w:space="0" w:color="000000"/>
              <w:left w:val="single" w:sz="8" w:space="0" w:color="000000"/>
              <w:bottom w:val="single" w:sz="4" w:space="0" w:color="000000"/>
              <w:right w:val="single" w:sz="4" w:space="0" w:color="000000"/>
            </w:tcBorders>
            <w:vAlign w:val="center"/>
            <w:hideMark/>
          </w:tcPr>
          <w:p w14:paraId="67FB40D3" w14:textId="77777777" w:rsidR="00A2676B" w:rsidRPr="00A2676B" w:rsidRDefault="00A2676B" w:rsidP="00A2676B">
            <w:pPr>
              <w:jc w:val="right"/>
              <w:rPr>
                <w:rFonts w:ascii="Times New Roman" w:hAnsi="Times New Roman" w:cs="Times New Roman"/>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CF2BF16" w14:textId="77777777" w:rsidR="00A2676B" w:rsidRPr="00A2676B" w:rsidRDefault="00A2676B" w:rsidP="00014E6C">
            <w:pPr>
              <w:jc w:val="center"/>
              <w:rPr>
                <w:rFonts w:ascii="Times New Roman" w:hAnsi="Times New Roman" w:cs="Times New Roman"/>
                <w:sz w:val="20"/>
                <w:szCs w:val="20"/>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77998010"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56D2D42E"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122D7FA"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0B7A4B51" w14:textId="77777777" w:rsidTr="000A3553">
        <w:trPr>
          <w:gridAfter w:val="1"/>
          <w:wAfter w:w="9" w:type="dxa"/>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5951CA58"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1CC7A7F"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0C841C87" w14:textId="77777777" w:rsidR="00A2676B" w:rsidRPr="00A2676B" w:rsidRDefault="00A2676B" w:rsidP="009806F4">
            <w:pPr>
              <w:jc w:val="center"/>
              <w:rPr>
                <w:rFonts w:ascii="Times New Roman" w:hAnsi="Times New Roman" w:cs="Times New Roman"/>
                <w:sz w:val="21"/>
                <w:szCs w:val="21"/>
              </w:rPr>
            </w:pPr>
          </w:p>
        </w:tc>
        <w:tc>
          <w:tcPr>
            <w:tcW w:w="1127" w:type="dxa"/>
            <w:vMerge w:val="restart"/>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34717F9"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98 690 480</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96F7663" w14:textId="0D647F31" w:rsidR="00A2676B" w:rsidRPr="00A2676B" w:rsidRDefault="00014E6C" w:rsidP="00014E6C">
            <w:pPr>
              <w:jc w:val="center"/>
              <w:rPr>
                <w:rFonts w:ascii="Times New Roman" w:hAnsi="Times New Roman" w:cs="Times New Roman"/>
                <w:sz w:val="20"/>
                <w:szCs w:val="20"/>
              </w:rPr>
            </w:pPr>
            <w:r w:rsidRPr="00A2676B">
              <w:rPr>
                <w:rFonts w:ascii="Times New Roman" w:hAnsi="Times New Roman" w:cs="Times New Roman"/>
                <w:sz w:val="20"/>
                <w:szCs w:val="20"/>
              </w:rPr>
              <w:t>Technologie Services (Ts)</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641D8004"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5AC5014D"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2CFDDBC"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739897B9" w14:textId="77777777" w:rsidTr="000A3553">
        <w:trPr>
          <w:gridAfter w:val="1"/>
          <w:wAfter w:w="9" w:type="dxa"/>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675F6DEE"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3092517"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20E0D732" w14:textId="77777777" w:rsidR="00A2676B" w:rsidRPr="00A2676B" w:rsidRDefault="00A2676B" w:rsidP="009806F4">
            <w:pPr>
              <w:jc w:val="center"/>
              <w:rPr>
                <w:rFonts w:ascii="Times New Roman" w:hAnsi="Times New Roman" w:cs="Times New Roman"/>
                <w:sz w:val="21"/>
                <w:szCs w:val="21"/>
              </w:rPr>
            </w:pPr>
          </w:p>
        </w:tc>
        <w:tc>
          <w:tcPr>
            <w:tcW w:w="1127" w:type="dxa"/>
            <w:vMerge/>
            <w:tcBorders>
              <w:top w:val="single" w:sz="4" w:space="0" w:color="000000"/>
              <w:left w:val="single" w:sz="8" w:space="0" w:color="000000"/>
              <w:bottom w:val="single" w:sz="4" w:space="0" w:color="000000"/>
              <w:right w:val="single" w:sz="4" w:space="0" w:color="000000"/>
            </w:tcBorders>
            <w:vAlign w:val="center"/>
            <w:hideMark/>
          </w:tcPr>
          <w:p w14:paraId="6CAC6BF5" w14:textId="77777777" w:rsidR="00A2676B" w:rsidRPr="00A2676B" w:rsidRDefault="00A2676B" w:rsidP="00A2676B">
            <w:pPr>
              <w:jc w:val="right"/>
              <w:rPr>
                <w:rFonts w:ascii="Times New Roman" w:hAnsi="Times New Roman" w:cs="Times New Roman"/>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DB68B31" w14:textId="77777777" w:rsidR="00A2676B" w:rsidRPr="00A2676B" w:rsidRDefault="00A2676B" w:rsidP="00014E6C">
            <w:pPr>
              <w:jc w:val="center"/>
              <w:rPr>
                <w:rFonts w:ascii="Times New Roman" w:hAnsi="Times New Roman" w:cs="Times New Roman"/>
                <w:sz w:val="20"/>
                <w:szCs w:val="20"/>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4F06B3F0"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4F31CF8F" w14:textId="77777777" w:rsidR="00A2676B" w:rsidRPr="00A2676B" w:rsidRDefault="00A2676B" w:rsidP="00A2676B">
            <w:pPr>
              <w:jc w:val="both"/>
              <w:rPr>
                <w:rFonts w:ascii="Times New Roman" w:hAnsi="Times New Roman" w:cs="Times New Roman"/>
                <w:sz w:val="21"/>
                <w:szCs w:val="21"/>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4F484D4"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2D7229C4" w14:textId="77777777" w:rsidTr="000A3553">
        <w:trPr>
          <w:gridAfter w:val="1"/>
          <w:wAfter w:w="9" w:type="dxa"/>
          <w:trHeight w:val="342"/>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5516CCB" w14:textId="509FD4DC"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 xml:space="preserve">Acquisition de </w:t>
            </w:r>
            <w:r w:rsidR="00781B55">
              <w:rPr>
                <w:rFonts w:ascii="Times New Roman" w:hAnsi="Times New Roman" w:cs="Times New Roman"/>
                <w:sz w:val="21"/>
                <w:szCs w:val="21"/>
              </w:rPr>
              <w:t xml:space="preserve">2 </w:t>
            </w:r>
            <w:r w:rsidRPr="00A2676B">
              <w:rPr>
                <w:rFonts w:ascii="Times New Roman" w:hAnsi="Times New Roman" w:cs="Times New Roman"/>
                <w:sz w:val="21"/>
                <w:szCs w:val="21"/>
              </w:rPr>
              <w:t>Véhicule</w:t>
            </w:r>
            <w:r w:rsidR="00781B55">
              <w:rPr>
                <w:rFonts w:ascii="Times New Roman" w:hAnsi="Times New Roman" w:cs="Times New Roman"/>
                <w:sz w:val="21"/>
                <w:szCs w:val="21"/>
              </w:rPr>
              <w:t>s</w:t>
            </w:r>
            <w:r w:rsidRPr="00A2676B">
              <w:rPr>
                <w:rFonts w:ascii="Times New Roman" w:hAnsi="Times New Roman" w:cs="Times New Roman"/>
                <w:sz w:val="21"/>
                <w:szCs w:val="21"/>
              </w:rPr>
              <w:t xml:space="preserve"> 4x4 pour Lot 2 : CEA AGRISAN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FC76EED"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Fourniture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0F7695E"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AOO</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E920AF3"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34 234 000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3BAD0EA" w14:textId="6093C4A6" w:rsidR="00A2676B" w:rsidRPr="00A2676B" w:rsidRDefault="00014E6C" w:rsidP="00014E6C">
            <w:pPr>
              <w:jc w:val="center"/>
              <w:rPr>
                <w:rFonts w:ascii="Times New Roman" w:hAnsi="Times New Roman" w:cs="Times New Roman"/>
                <w:sz w:val="20"/>
                <w:szCs w:val="20"/>
              </w:rPr>
            </w:pPr>
            <w:proofErr w:type="spellStart"/>
            <w:r w:rsidRPr="00A2676B">
              <w:rPr>
                <w:rFonts w:ascii="Times New Roman" w:hAnsi="Times New Roman" w:cs="Times New Roman"/>
                <w:sz w:val="20"/>
                <w:szCs w:val="20"/>
              </w:rPr>
              <w:t>Senegalaise</w:t>
            </w:r>
            <w:proofErr w:type="spellEnd"/>
            <w:r w:rsidRPr="00A2676B">
              <w:rPr>
                <w:rFonts w:ascii="Times New Roman" w:hAnsi="Times New Roman" w:cs="Times New Roman"/>
                <w:sz w:val="20"/>
                <w:szCs w:val="20"/>
              </w:rPr>
              <w:t xml:space="preserve"> </w:t>
            </w:r>
            <w:r w:rsidR="000A3553">
              <w:rPr>
                <w:rFonts w:ascii="Times New Roman" w:hAnsi="Times New Roman" w:cs="Times New Roman"/>
                <w:sz w:val="20"/>
                <w:szCs w:val="20"/>
              </w:rPr>
              <w:t>d</w:t>
            </w:r>
            <w:r w:rsidRPr="00A2676B">
              <w:rPr>
                <w:rFonts w:ascii="Times New Roman" w:hAnsi="Times New Roman" w:cs="Times New Roman"/>
                <w:sz w:val="20"/>
                <w:szCs w:val="20"/>
              </w:rPr>
              <w:t xml:space="preserve">e </w:t>
            </w:r>
            <w:r w:rsidR="000A3553">
              <w:rPr>
                <w:rFonts w:ascii="Times New Roman" w:hAnsi="Times New Roman" w:cs="Times New Roman"/>
                <w:sz w:val="20"/>
                <w:szCs w:val="20"/>
              </w:rPr>
              <w:t>l</w:t>
            </w:r>
            <w:r w:rsidRPr="00A2676B">
              <w:rPr>
                <w:rFonts w:ascii="Times New Roman" w:hAnsi="Times New Roman" w:cs="Times New Roman"/>
                <w:sz w:val="20"/>
                <w:szCs w:val="20"/>
              </w:rPr>
              <w:t>’automobile Sa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0ED632C" w14:textId="467D1EF0"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En cours d’immatriculation</w:t>
            </w:r>
            <w:r w:rsidR="00781B55">
              <w:rPr>
                <w:rFonts w:ascii="Times New Roman" w:hAnsi="Times New Roman" w:cs="Times New Roman"/>
                <w:sz w:val="20"/>
                <w:szCs w:val="20"/>
              </w:rPr>
              <w:t xml:space="preserve"> des véhicules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E025160"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2</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9F880CD"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4BAF30FA" w14:textId="77777777" w:rsidTr="000A3553">
        <w:trPr>
          <w:trHeight w:val="33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9B1757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Acquisition de supports de communication (Kakemono, conception et diffusion de dépliants etc.)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7F426A1"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Fourniture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C7AC482"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DRPR</w:t>
            </w:r>
          </w:p>
        </w:tc>
        <w:tc>
          <w:tcPr>
            <w:tcW w:w="1127" w:type="dxa"/>
            <w:tcBorders>
              <w:top w:val="single" w:sz="4" w:space="0" w:color="000000"/>
              <w:left w:val="single" w:sz="4" w:space="0" w:color="000000"/>
              <w:bottom w:val="single" w:sz="4" w:space="0" w:color="000000"/>
              <w:right w:val="single" w:sz="4" w:space="0" w:color="000000"/>
            </w:tcBorders>
            <w:shd w:val="clear" w:color="auto" w:fill="A9D08E"/>
            <w:tcMar>
              <w:top w:w="4" w:type="dxa"/>
              <w:left w:w="4" w:type="dxa"/>
              <w:bottom w:w="20" w:type="dxa"/>
              <w:right w:w="4" w:type="dxa"/>
            </w:tcMar>
            <w:vAlign w:val="center"/>
            <w:hideMark/>
          </w:tcPr>
          <w:p w14:paraId="7CD176C8"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9 783 970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AC6C268" w14:textId="26443D2E" w:rsidR="00A2676B" w:rsidRPr="00A2676B" w:rsidRDefault="00014E6C" w:rsidP="00014E6C">
            <w:pPr>
              <w:jc w:val="center"/>
              <w:rPr>
                <w:rFonts w:ascii="Times New Roman" w:hAnsi="Times New Roman" w:cs="Times New Roman"/>
                <w:sz w:val="21"/>
                <w:szCs w:val="21"/>
              </w:rPr>
            </w:pPr>
            <w:r w:rsidRPr="00A2676B">
              <w:rPr>
                <w:rFonts w:ascii="Times New Roman" w:hAnsi="Times New Roman" w:cs="Times New Roman"/>
                <w:sz w:val="21"/>
                <w:szCs w:val="21"/>
              </w:rPr>
              <w:t>Inter Services Business (</w:t>
            </w:r>
            <w:proofErr w:type="spellStart"/>
            <w:r w:rsidRPr="00A2676B">
              <w:rPr>
                <w:rFonts w:ascii="Times New Roman" w:hAnsi="Times New Roman" w:cs="Times New Roman"/>
                <w:sz w:val="21"/>
                <w:szCs w:val="21"/>
              </w:rPr>
              <w:t>Isb</w:t>
            </w:r>
            <w:proofErr w:type="spellEnd"/>
            <w:r w:rsidRPr="00A2676B">
              <w:rPr>
                <w:rFonts w:ascii="Times New Roman" w:hAnsi="Times New Roman" w:cs="Times New Roman"/>
                <w:sz w:val="21"/>
                <w:szCs w:val="21"/>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61CCB0E"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Réceptionné</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19A67F34" w14:textId="77777777" w:rsidR="00A2676B" w:rsidRPr="00A2676B" w:rsidRDefault="00A2676B" w:rsidP="00A2676B">
            <w:pPr>
              <w:jc w:val="both"/>
              <w:rPr>
                <w:rFonts w:ascii="Times New Roman" w:hAnsi="Times New Roman" w:cs="Times New Roman"/>
                <w:sz w:val="21"/>
                <w:szCs w:val="21"/>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9D08E"/>
            <w:tcMar>
              <w:top w:w="4" w:type="dxa"/>
              <w:left w:w="4" w:type="dxa"/>
              <w:bottom w:w="20" w:type="dxa"/>
              <w:right w:w="4" w:type="dxa"/>
            </w:tcMar>
            <w:vAlign w:val="center"/>
            <w:hideMark/>
          </w:tcPr>
          <w:p w14:paraId="236A9A53"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PAYE</w:t>
            </w:r>
          </w:p>
        </w:tc>
      </w:tr>
      <w:tr w:rsidR="00A2676B" w:rsidRPr="00A2676B" w14:paraId="7269BB7B" w14:textId="77777777" w:rsidTr="000A3553">
        <w:trPr>
          <w:trHeight w:val="184"/>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7C85F61"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Travaux d’aménagement des champs et fermes-écoles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CFFC9C2"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Travaux</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BEBCFD2"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DRPCO</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0909BE8"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6 844 000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6B9ED6B" w14:textId="5CBBAAF5" w:rsidR="00A2676B" w:rsidRPr="00A2676B" w:rsidRDefault="00014E6C" w:rsidP="00014E6C">
            <w:pPr>
              <w:jc w:val="center"/>
              <w:rPr>
                <w:rFonts w:ascii="Times New Roman" w:hAnsi="Times New Roman" w:cs="Times New Roman"/>
                <w:sz w:val="21"/>
                <w:szCs w:val="21"/>
              </w:rPr>
            </w:pPr>
            <w:proofErr w:type="spellStart"/>
            <w:r w:rsidRPr="00A2676B">
              <w:rPr>
                <w:rFonts w:ascii="Times New Roman" w:hAnsi="Times New Roman" w:cs="Times New Roman"/>
                <w:sz w:val="21"/>
                <w:szCs w:val="21"/>
              </w:rPr>
              <w:t>Parar</w:t>
            </w:r>
            <w:proofErr w:type="spellEnd"/>
            <w:r w:rsidRPr="00A2676B">
              <w:rPr>
                <w:rFonts w:ascii="Times New Roman" w:hAnsi="Times New Roman" w:cs="Times New Roman"/>
                <w:sz w:val="21"/>
                <w:szCs w:val="21"/>
              </w:rPr>
              <w:t xml:space="preserve"> Consulting</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5D60F6B"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En cours d’exécution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701A44C6"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1</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ACD5604"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062257FA" w14:textId="77777777" w:rsidTr="000A3553">
        <w:trPr>
          <w:trHeight w:val="33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0612610B"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A21A563"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47D277E5"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04E571E"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10 631 000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8710C51" w14:textId="0C6BB37D" w:rsidR="00A2676B" w:rsidRPr="00A2676B" w:rsidRDefault="00014E6C" w:rsidP="00014E6C">
            <w:pPr>
              <w:jc w:val="center"/>
              <w:rPr>
                <w:rFonts w:ascii="Times New Roman" w:hAnsi="Times New Roman" w:cs="Times New Roman"/>
                <w:sz w:val="21"/>
                <w:szCs w:val="21"/>
              </w:rPr>
            </w:pPr>
            <w:proofErr w:type="spellStart"/>
            <w:r w:rsidRPr="00A2676B">
              <w:rPr>
                <w:rFonts w:ascii="Times New Roman" w:hAnsi="Times New Roman" w:cs="Times New Roman"/>
                <w:sz w:val="21"/>
                <w:szCs w:val="21"/>
              </w:rPr>
              <w:t>Cayor</w:t>
            </w:r>
            <w:proofErr w:type="spellEnd"/>
            <w:r w:rsidRPr="00A2676B">
              <w:rPr>
                <w:rFonts w:ascii="Times New Roman" w:hAnsi="Times New Roman" w:cs="Times New Roman"/>
                <w:sz w:val="21"/>
                <w:szCs w:val="21"/>
              </w:rPr>
              <w:t xml:space="preserve"> Consortium D’entreprise</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73F240FC"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FB4014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7A1D2D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761049C4" w14:textId="77777777" w:rsidTr="000A3553">
        <w:trPr>
          <w:trHeight w:val="33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03AA7BAE"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577C95"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3D5326B6"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A00F201"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10 631 000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150DAB1" w14:textId="7DE2CD18" w:rsidR="00A2676B" w:rsidRPr="00A2676B" w:rsidRDefault="00014E6C" w:rsidP="00014E6C">
            <w:pPr>
              <w:jc w:val="center"/>
              <w:rPr>
                <w:rFonts w:ascii="Times New Roman" w:hAnsi="Times New Roman" w:cs="Times New Roman"/>
                <w:sz w:val="21"/>
                <w:szCs w:val="21"/>
              </w:rPr>
            </w:pPr>
            <w:proofErr w:type="spellStart"/>
            <w:r w:rsidRPr="00A2676B">
              <w:rPr>
                <w:rFonts w:ascii="Times New Roman" w:hAnsi="Times New Roman" w:cs="Times New Roman"/>
                <w:sz w:val="21"/>
                <w:szCs w:val="21"/>
              </w:rPr>
              <w:t>Cayor</w:t>
            </w:r>
            <w:proofErr w:type="spellEnd"/>
            <w:r w:rsidRPr="00A2676B">
              <w:rPr>
                <w:rFonts w:ascii="Times New Roman" w:hAnsi="Times New Roman" w:cs="Times New Roman"/>
                <w:sz w:val="21"/>
                <w:szCs w:val="21"/>
              </w:rPr>
              <w:t xml:space="preserve"> Consortium D’entreprise</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25E29956"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121345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3</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1E194A4"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6B80E699" w14:textId="77777777" w:rsidTr="000A3553">
        <w:trPr>
          <w:trHeight w:val="184"/>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73FB7382"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08B2FA0"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46AEC818"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A3F18AF"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6 844 000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1A2D4DB" w14:textId="5CA366C5" w:rsidR="00A2676B" w:rsidRPr="00A2676B" w:rsidRDefault="00014E6C" w:rsidP="00014E6C">
            <w:pPr>
              <w:jc w:val="center"/>
              <w:rPr>
                <w:rFonts w:ascii="Times New Roman" w:hAnsi="Times New Roman" w:cs="Times New Roman"/>
                <w:sz w:val="21"/>
                <w:szCs w:val="21"/>
              </w:rPr>
            </w:pPr>
            <w:proofErr w:type="spellStart"/>
            <w:r w:rsidRPr="00A2676B">
              <w:rPr>
                <w:rFonts w:ascii="Times New Roman" w:hAnsi="Times New Roman" w:cs="Times New Roman"/>
                <w:sz w:val="21"/>
                <w:szCs w:val="21"/>
              </w:rPr>
              <w:t>Parar</w:t>
            </w:r>
            <w:proofErr w:type="spellEnd"/>
            <w:r w:rsidRPr="00A2676B">
              <w:rPr>
                <w:rFonts w:ascii="Times New Roman" w:hAnsi="Times New Roman" w:cs="Times New Roman"/>
                <w:sz w:val="21"/>
                <w:szCs w:val="21"/>
              </w:rPr>
              <w:t xml:space="preserve"> Consulting</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7ECCA2E2"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0B91A354"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D337E4B"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0E2118C7" w14:textId="77777777" w:rsidTr="000A3553">
        <w:trPr>
          <w:trHeight w:val="184"/>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7799A913"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CF83A6F"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39E689F8"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C47BA2C"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6 844 000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6BE03F9" w14:textId="3B0D88C0" w:rsidR="00A2676B" w:rsidRPr="00A2676B" w:rsidRDefault="00014E6C" w:rsidP="00014E6C">
            <w:pPr>
              <w:jc w:val="center"/>
              <w:rPr>
                <w:rFonts w:ascii="Times New Roman" w:hAnsi="Times New Roman" w:cs="Times New Roman"/>
                <w:sz w:val="21"/>
                <w:szCs w:val="21"/>
              </w:rPr>
            </w:pPr>
            <w:proofErr w:type="spellStart"/>
            <w:r w:rsidRPr="00A2676B">
              <w:rPr>
                <w:rFonts w:ascii="Times New Roman" w:hAnsi="Times New Roman" w:cs="Times New Roman"/>
                <w:sz w:val="21"/>
                <w:szCs w:val="21"/>
              </w:rPr>
              <w:t>Parar</w:t>
            </w:r>
            <w:proofErr w:type="spellEnd"/>
            <w:r w:rsidRPr="00A2676B">
              <w:rPr>
                <w:rFonts w:ascii="Times New Roman" w:hAnsi="Times New Roman" w:cs="Times New Roman"/>
                <w:sz w:val="21"/>
                <w:szCs w:val="21"/>
              </w:rPr>
              <w:t xml:space="preserve"> Consulting</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02AB4712"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7FD22852"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C61C721"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29443E27" w14:textId="77777777" w:rsidTr="000A3553">
        <w:trPr>
          <w:trHeight w:val="33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3AFCBE7C"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D247304"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4A5D1D5F"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13C92D6"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10 631 000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BDA06F7" w14:textId="7B9609FF" w:rsidR="00A2676B" w:rsidRPr="00A2676B" w:rsidRDefault="00014E6C" w:rsidP="00014E6C">
            <w:pPr>
              <w:jc w:val="center"/>
              <w:rPr>
                <w:rFonts w:ascii="Times New Roman" w:hAnsi="Times New Roman" w:cs="Times New Roman"/>
                <w:sz w:val="21"/>
                <w:szCs w:val="21"/>
              </w:rPr>
            </w:pPr>
            <w:proofErr w:type="spellStart"/>
            <w:r w:rsidRPr="00A2676B">
              <w:rPr>
                <w:rFonts w:ascii="Times New Roman" w:hAnsi="Times New Roman" w:cs="Times New Roman"/>
                <w:sz w:val="21"/>
                <w:szCs w:val="21"/>
              </w:rPr>
              <w:t>Cce</w:t>
            </w:r>
            <w:proofErr w:type="spellEnd"/>
            <w:r w:rsidRPr="00A2676B">
              <w:rPr>
                <w:rFonts w:ascii="Times New Roman" w:hAnsi="Times New Roman" w:cs="Times New Roman"/>
                <w:sz w:val="21"/>
                <w:szCs w:val="21"/>
              </w:rPr>
              <w:t xml:space="preserve"> </w:t>
            </w:r>
            <w:proofErr w:type="spellStart"/>
            <w:r w:rsidRPr="00A2676B">
              <w:rPr>
                <w:rFonts w:ascii="Times New Roman" w:hAnsi="Times New Roman" w:cs="Times New Roman"/>
                <w:sz w:val="21"/>
                <w:szCs w:val="21"/>
              </w:rPr>
              <w:t>Cayor</w:t>
            </w:r>
            <w:proofErr w:type="spellEnd"/>
            <w:r w:rsidRPr="00A2676B">
              <w:rPr>
                <w:rFonts w:ascii="Times New Roman" w:hAnsi="Times New Roman" w:cs="Times New Roman"/>
                <w:sz w:val="21"/>
                <w:szCs w:val="21"/>
              </w:rPr>
              <w:t xml:space="preserve"> Consortium D’entreprise</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364A08DF"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143365E"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6</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A898872"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21E44E71" w14:textId="77777777" w:rsidTr="000A3553">
        <w:trPr>
          <w:trHeight w:val="263"/>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1427A89"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Travaux de réhabilitation des 5 laboratoires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E63C3F2"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Travaux</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460DD27"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DRPCO</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310EA86"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8 901 035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B01E9DA" w14:textId="039B6530" w:rsidR="00A2676B" w:rsidRPr="00A2676B" w:rsidRDefault="00014E6C" w:rsidP="00014E6C">
            <w:pPr>
              <w:jc w:val="center"/>
              <w:rPr>
                <w:rFonts w:ascii="Times New Roman" w:hAnsi="Times New Roman" w:cs="Times New Roman"/>
                <w:sz w:val="21"/>
                <w:szCs w:val="21"/>
              </w:rPr>
            </w:pPr>
            <w:r w:rsidRPr="00A2676B">
              <w:rPr>
                <w:rFonts w:ascii="Times New Roman" w:hAnsi="Times New Roman" w:cs="Times New Roman"/>
                <w:sz w:val="21"/>
                <w:szCs w:val="21"/>
              </w:rPr>
              <w:t>Barry Junior Entreprise</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3751B80"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En cours d’exécution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EACC60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1</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535F42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0F7D3169" w14:textId="77777777" w:rsidTr="000A3553">
        <w:trPr>
          <w:trHeight w:val="33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3951C77D"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15ED52A"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7E245C0F"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3ECA74E"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1 691 884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8DB3EEB" w14:textId="332706F3" w:rsidR="00A2676B" w:rsidRPr="00A2676B" w:rsidRDefault="00014E6C" w:rsidP="000A3553">
            <w:pPr>
              <w:jc w:val="center"/>
              <w:rPr>
                <w:rFonts w:ascii="Times New Roman" w:hAnsi="Times New Roman" w:cs="Times New Roman"/>
                <w:sz w:val="21"/>
                <w:szCs w:val="21"/>
              </w:rPr>
            </w:pPr>
            <w:r w:rsidRPr="00A2676B">
              <w:rPr>
                <w:rFonts w:ascii="Times New Roman" w:hAnsi="Times New Roman" w:cs="Times New Roman"/>
                <w:sz w:val="21"/>
                <w:szCs w:val="21"/>
              </w:rPr>
              <w:t>Gueye Computer Services</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4E098035"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D884BFE"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0D827D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33F3C55A" w14:textId="77777777" w:rsidTr="000A3553">
        <w:trPr>
          <w:trHeight w:val="263"/>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515A5DB8"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2CA3D1B"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7396DF71"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E06D973"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6 245 327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7D10417" w14:textId="2E67A7F5" w:rsidR="00A2676B" w:rsidRPr="00A2676B" w:rsidRDefault="00014E6C" w:rsidP="000A3553">
            <w:pPr>
              <w:jc w:val="center"/>
              <w:rPr>
                <w:rFonts w:ascii="Times New Roman" w:hAnsi="Times New Roman" w:cs="Times New Roman"/>
                <w:sz w:val="21"/>
                <w:szCs w:val="21"/>
              </w:rPr>
            </w:pPr>
            <w:r w:rsidRPr="00A2676B">
              <w:rPr>
                <w:rFonts w:ascii="Times New Roman" w:hAnsi="Times New Roman" w:cs="Times New Roman"/>
                <w:sz w:val="21"/>
                <w:szCs w:val="21"/>
              </w:rPr>
              <w:t>Barry Junior Entreprise</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5896D52C"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D7CEBA0"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3</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C682F85"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4D10F975" w14:textId="77777777" w:rsidTr="000A3553">
        <w:trPr>
          <w:trHeight w:val="33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19E5C91A"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F609861"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57C281FA"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C012B43"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6 513 718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3E58235" w14:textId="7B0AE4CB" w:rsidR="00A2676B" w:rsidRPr="00A2676B" w:rsidRDefault="00014E6C" w:rsidP="000A3553">
            <w:pPr>
              <w:jc w:val="center"/>
              <w:rPr>
                <w:rFonts w:ascii="Times New Roman" w:hAnsi="Times New Roman" w:cs="Times New Roman"/>
                <w:sz w:val="21"/>
                <w:szCs w:val="21"/>
              </w:rPr>
            </w:pPr>
            <w:r w:rsidRPr="00A2676B">
              <w:rPr>
                <w:rFonts w:ascii="Times New Roman" w:hAnsi="Times New Roman" w:cs="Times New Roman"/>
                <w:sz w:val="21"/>
                <w:szCs w:val="21"/>
              </w:rPr>
              <w:t>Gueye Computer Services</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06C0EF11"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2A0216A"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42EA8DD"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6DE0DD6A" w14:textId="77777777" w:rsidTr="000A3553">
        <w:trPr>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46AA75BB"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4735A2F"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285768FC" w14:textId="77777777" w:rsidR="00A2676B" w:rsidRPr="00A2676B" w:rsidRDefault="00A2676B" w:rsidP="009806F4">
            <w:pPr>
              <w:jc w:val="center"/>
              <w:rPr>
                <w:rFonts w:ascii="Times New Roman" w:hAnsi="Times New Roman" w:cs="Times New Roman"/>
                <w:sz w:val="21"/>
                <w:szCs w:val="21"/>
              </w:rPr>
            </w:pPr>
          </w:p>
        </w:tc>
        <w:tc>
          <w:tcPr>
            <w:tcW w:w="1127" w:type="dxa"/>
            <w:vMerge w:val="restart"/>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C634FF5"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4 503 470</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8FF3DA0" w14:textId="43FADAAD" w:rsidR="00A2676B" w:rsidRPr="00A2676B" w:rsidRDefault="00014E6C" w:rsidP="000A3553">
            <w:pPr>
              <w:jc w:val="center"/>
              <w:rPr>
                <w:rFonts w:ascii="Times New Roman" w:hAnsi="Times New Roman" w:cs="Times New Roman"/>
                <w:sz w:val="21"/>
                <w:szCs w:val="21"/>
              </w:rPr>
            </w:pPr>
            <w:r w:rsidRPr="00A2676B">
              <w:rPr>
                <w:rFonts w:ascii="Times New Roman" w:hAnsi="Times New Roman" w:cs="Times New Roman"/>
                <w:sz w:val="21"/>
                <w:szCs w:val="21"/>
              </w:rPr>
              <w:t>Barry Junior Entreprise</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02EBF1E1"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30AAF48B"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9744DFE"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3BF7C2DE" w14:textId="77777777" w:rsidTr="000A3553">
        <w:trPr>
          <w:trHeight w:val="178"/>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69CED81A"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F45437F"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5F3B481C" w14:textId="77777777" w:rsidR="00A2676B" w:rsidRPr="00A2676B" w:rsidRDefault="00A2676B" w:rsidP="009806F4">
            <w:pPr>
              <w:jc w:val="center"/>
              <w:rPr>
                <w:rFonts w:ascii="Times New Roman" w:hAnsi="Times New Roman" w:cs="Times New Roman"/>
                <w:sz w:val="21"/>
                <w:szCs w:val="21"/>
              </w:rPr>
            </w:pPr>
          </w:p>
        </w:tc>
        <w:tc>
          <w:tcPr>
            <w:tcW w:w="1127" w:type="dxa"/>
            <w:vMerge/>
            <w:tcBorders>
              <w:top w:val="single" w:sz="4" w:space="0" w:color="000000"/>
              <w:left w:val="single" w:sz="8" w:space="0" w:color="000000"/>
              <w:bottom w:val="single" w:sz="4" w:space="0" w:color="000000"/>
              <w:right w:val="single" w:sz="4" w:space="0" w:color="000000"/>
            </w:tcBorders>
            <w:vAlign w:val="center"/>
            <w:hideMark/>
          </w:tcPr>
          <w:p w14:paraId="004A465F" w14:textId="77777777" w:rsidR="00A2676B" w:rsidRPr="00A2676B" w:rsidRDefault="00A2676B" w:rsidP="00A2676B">
            <w:pPr>
              <w:jc w:val="right"/>
              <w:rPr>
                <w:rFonts w:ascii="Times New Roman" w:hAnsi="Times New Roman" w:cs="Times New Roman"/>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C7A6914" w14:textId="77777777" w:rsidR="00A2676B" w:rsidRPr="00A2676B" w:rsidRDefault="00A2676B" w:rsidP="00A2676B">
            <w:pPr>
              <w:jc w:val="both"/>
              <w:rPr>
                <w:rFonts w:ascii="Times New Roman" w:hAnsi="Times New Roman" w:cs="Times New Roman"/>
                <w:sz w:val="21"/>
                <w:szCs w:val="21"/>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3F1DF172"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7AC467B8" w14:textId="77777777" w:rsidR="00A2676B" w:rsidRPr="00A2676B" w:rsidRDefault="00A2676B" w:rsidP="00A2676B">
            <w:pPr>
              <w:jc w:val="both"/>
              <w:rPr>
                <w:rFonts w:ascii="Times New Roman" w:hAnsi="Times New Roman" w:cs="Times New Roman"/>
                <w:sz w:val="21"/>
                <w:szCs w:val="21"/>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BCBFEB8"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655479AD" w14:textId="77777777" w:rsidTr="000A3553">
        <w:trPr>
          <w:trHeight w:val="33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13563AA"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Travaux Fourniture et pose de serres équipées de dispositifs hors sol et système d’arrosage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83D1CD1"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Travaux</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B875045"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AOO</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11F58CF"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8 732 000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A9ECCD9"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CCE CAYOR CONSORTIUM D’ENTREPRISES</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9257DE4"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En cours d’exécution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E5B8498"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1</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7FAA33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29869AE8" w14:textId="77777777" w:rsidTr="000A3553">
        <w:trPr>
          <w:trHeight w:val="33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713CF315"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4673B9"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0BD26D3B"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2B52EED"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8 732 000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BD6004F" w14:textId="2892D21A" w:rsidR="00A2676B" w:rsidRPr="00A2676B" w:rsidRDefault="00771D3F" w:rsidP="00771D3F">
            <w:pPr>
              <w:jc w:val="center"/>
              <w:rPr>
                <w:rFonts w:ascii="Times New Roman" w:hAnsi="Times New Roman" w:cs="Times New Roman"/>
                <w:sz w:val="21"/>
                <w:szCs w:val="21"/>
              </w:rPr>
            </w:pPr>
            <w:proofErr w:type="spellStart"/>
            <w:r w:rsidRPr="00A2676B">
              <w:rPr>
                <w:rFonts w:ascii="Times New Roman" w:hAnsi="Times New Roman" w:cs="Times New Roman"/>
                <w:sz w:val="21"/>
                <w:szCs w:val="21"/>
              </w:rPr>
              <w:t>Cce</w:t>
            </w:r>
            <w:proofErr w:type="spellEnd"/>
            <w:r w:rsidRPr="00A2676B">
              <w:rPr>
                <w:rFonts w:ascii="Times New Roman" w:hAnsi="Times New Roman" w:cs="Times New Roman"/>
                <w:sz w:val="21"/>
                <w:szCs w:val="21"/>
              </w:rPr>
              <w:t xml:space="preserve"> </w:t>
            </w:r>
            <w:proofErr w:type="spellStart"/>
            <w:r w:rsidRPr="00A2676B">
              <w:rPr>
                <w:rFonts w:ascii="Times New Roman" w:hAnsi="Times New Roman" w:cs="Times New Roman"/>
                <w:sz w:val="21"/>
                <w:szCs w:val="21"/>
              </w:rPr>
              <w:t>Cayor</w:t>
            </w:r>
            <w:proofErr w:type="spellEnd"/>
            <w:r w:rsidRPr="00A2676B">
              <w:rPr>
                <w:rFonts w:ascii="Times New Roman" w:hAnsi="Times New Roman" w:cs="Times New Roman"/>
                <w:sz w:val="21"/>
                <w:szCs w:val="21"/>
              </w:rPr>
              <w:t xml:space="preserve"> Consortium D’entreprises</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7BD691BD"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1A204F4"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FA50A3C"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6F93EA43" w14:textId="77777777" w:rsidTr="000A3553">
        <w:trPr>
          <w:trHeight w:val="184"/>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69F6EC2D"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0CF77B4"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723009CE"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7F526BD"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13 009 500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2DBE0B9" w14:textId="582BE5F8" w:rsidR="00A2676B" w:rsidRPr="00A2676B" w:rsidRDefault="00771D3F" w:rsidP="00771D3F">
            <w:pPr>
              <w:jc w:val="center"/>
              <w:rPr>
                <w:rFonts w:ascii="Times New Roman" w:hAnsi="Times New Roman" w:cs="Times New Roman"/>
                <w:sz w:val="21"/>
                <w:szCs w:val="21"/>
              </w:rPr>
            </w:pPr>
            <w:r w:rsidRPr="00A2676B">
              <w:rPr>
                <w:rFonts w:ascii="Times New Roman" w:hAnsi="Times New Roman" w:cs="Times New Roman"/>
                <w:sz w:val="21"/>
                <w:szCs w:val="21"/>
              </w:rPr>
              <w:t>Panafricaine D’entreprises</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5848FEA9"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35E70FD"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3</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9215A59"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40EA2DCA" w14:textId="77777777" w:rsidTr="000A3553">
        <w:trPr>
          <w:trHeight w:val="184"/>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3F7449C3"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3E9C19"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5BF75840"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B01821E"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12 655 000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3E97DD5" w14:textId="6985E1C4" w:rsidR="00A2676B" w:rsidRPr="00A2676B" w:rsidRDefault="00771D3F" w:rsidP="00771D3F">
            <w:pPr>
              <w:jc w:val="center"/>
              <w:rPr>
                <w:rFonts w:ascii="Times New Roman" w:hAnsi="Times New Roman" w:cs="Times New Roman"/>
                <w:sz w:val="21"/>
                <w:szCs w:val="21"/>
              </w:rPr>
            </w:pPr>
            <w:r w:rsidRPr="00A2676B">
              <w:rPr>
                <w:rFonts w:ascii="Times New Roman" w:hAnsi="Times New Roman" w:cs="Times New Roman"/>
                <w:sz w:val="21"/>
                <w:szCs w:val="21"/>
              </w:rPr>
              <w:t xml:space="preserve">Ets Diagne &amp; </w:t>
            </w:r>
            <w:proofErr w:type="spellStart"/>
            <w:r w:rsidRPr="00A2676B">
              <w:rPr>
                <w:rFonts w:ascii="Times New Roman" w:hAnsi="Times New Roman" w:cs="Times New Roman"/>
                <w:sz w:val="21"/>
                <w:szCs w:val="21"/>
              </w:rPr>
              <w:t>Freres</w:t>
            </w:r>
            <w:proofErr w:type="spellEnd"/>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6F8D3269"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16D3E4C7"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9FC58DE"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04984C05" w14:textId="77777777" w:rsidTr="000A3553">
        <w:trPr>
          <w:trHeight w:val="184"/>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50082204"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30DC31A"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22029982"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8C7DAA1"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12 655 000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61B3A7E" w14:textId="50D8F5DA" w:rsidR="00A2676B" w:rsidRPr="00A2676B" w:rsidRDefault="00771D3F" w:rsidP="00771D3F">
            <w:pPr>
              <w:jc w:val="center"/>
              <w:rPr>
                <w:rFonts w:ascii="Times New Roman" w:hAnsi="Times New Roman" w:cs="Times New Roman"/>
                <w:sz w:val="21"/>
                <w:szCs w:val="21"/>
              </w:rPr>
            </w:pPr>
            <w:r w:rsidRPr="00A2676B">
              <w:rPr>
                <w:rFonts w:ascii="Times New Roman" w:hAnsi="Times New Roman" w:cs="Times New Roman"/>
                <w:sz w:val="21"/>
                <w:szCs w:val="21"/>
              </w:rPr>
              <w:t xml:space="preserve">Ets Diagne &amp; </w:t>
            </w:r>
            <w:proofErr w:type="spellStart"/>
            <w:r w:rsidRPr="00A2676B">
              <w:rPr>
                <w:rFonts w:ascii="Times New Roman" w:hAnsi="Times New Roman" w:cs="Times New Roman"/>
                <w:sz w:val="21"/>
                <w:szCs w:val="21"/>
              </w:rPr>
              <w:t>Freres</w:t>
            </w:r>
            <w:proofErr w:type="spellEnd"/>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5D9FABBE"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518C8C29"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7E9EF91"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7771DC9C" w14:textId="77777777" w:rsidTr="000A3553">
        <w:trPr>
          <w:trHeight w:val="184"/>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2E7479A4" w14:textId="77777777" w:rsidR="00A2676B" w:rsidRPr="00A2676B" w:rsidRDefault="00A2676B" w:rsidP="00A2676B">
            <w:pPr>
              <w:jc w:val="both"/>
              <w:rPr>
                <w:rFonts w:ascii="Times New Roman" w:hAnsi="Times New Roman" w:cs="Times New Roman"/>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56B66C3" w14:textId="77777777" w:rsidR="00A2676B" w:rsidRPr="00A2676B" w:rsidRDefault="00A2676B" w:rsidP="00A2676B">
            <w:pPr>
              <w:jc w:val="both"/>
              <w:rPr>
                <w:rFonts w:ascii="Times New Roman" w:hAnsi="Times New Roman" w:cs="Times New Roman"/>
                <w:sz w:val="21"/>
                <w:szCs w:val="21"/>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14:paraId="44522D0B" w14:textId="77777777" w:rsidR="00A2676B" w:rsidRPr="00A2676B" w:rsidRDefault="00A2676B" w:rsidP="009806F4">
            <w:pPr>
              <w:jc w:val="center"/>
              <w:rPr>
                <w:rFonts w:ascii="Times New Roman" w:hAnsi="Times New Roman" w:cs="Times New Roman"/>
                <w:sz w:val="21"/>
                <w:szCs w:val="21"/>
              </w:rPr>
            </w:pPr>
          </w:p>
        </w:tc>
        <w:tc>
          <w:tcPr>
            <w:tcW w:w="1127" w:type="dxa"/>
            <w:tcBorders>
              <w:top w:val="single" w:sz="4" w:space="0" w:color="000000"/>
              <w:left w:val="single" w:sz="8"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F96CF8C"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13 009 500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7A4EB73" w14:textId="21F81C2D" w:rsidR="00A2676B" w:rsidRPr="00A2676B" w:rsidRDefault="00771D3F" w:rsidP="00771D3F">
            <w:pPr>
              <w:jc w:val="center"/>
              <w:rPr>
                <w:rFonts w:ascii="Times New Roman" w:hAnsi="Times New Roman" w:cs="Times New Roman"/>
                <w:sz w:val="21"/>
                <w:szCs w:val="21"/>
              </w:rPr>
            </w:pPr>
            <w:r w:rsidRPr="00A2676B">
              <w:rPr>
                <w:rFonts w:ascii="Times New Roman" w:hAnsi="Times New Roman" w:cs="Times New Roman"/>
                <w:sz w:val="21"/>
                <w:szCs w:val="21"/>
              </w:rPr>
              <w:t>Panafricaine D’entreprises</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14:paraId="0CE98075" w14:textId="77777777" w:rsidR="00A2676B" w:rsidRPr="00A2676B" w:rsidRDefault="00A2676B"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4F1CEB5"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6</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7B93FD85"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Encours</w:t>
            </w:r>
          </w:p>
        </w:tc>
      </w:tr>
      <w:tr w:rsidR="00A2676B" w:rsidRPr="00A2676B" w14:paraId="19BC4615" w14:textId="77777777" w:rsidTr="000A3553">
        <w:trPr>
          <w:trHeight w:val="33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A45F5CF"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Acquisition de matériel de visioconférence en deux (02) lots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8F3F0BF"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Fourniture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5167B477"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DRPCO</w:t>
            </w:r>
          </w:p>
        </w:tc>
        <w:tc>
          <w:tcPr>
            <w:tcW w:w="1127" w:type="dxa"/>
            <w:tcBorders>
              <w:top w:val="single" w:sz="4" w:space="0" w:color="000000"/>
              <w:left w:val="single" w:sz="4" w:space="0" w:color="000000"/>
              <w:bottom w:val="single" w:sz="4" w:space="0" w:color="000000"/>
              <w:right w:val="single" w:sz="4" w:space="0" w:color="000000"/>
            </w:tcBorders>
            <w:shd w:val="clear" w:color="auto" w:fill="A9D08E"/>
            <w:tcMar>
              <w:top w:w="4" w:type="dxa"/>
              <w:left w:w="4" w:type="dxa"/>
              <w:bottom w:w="20" w:type="dxa"/>
              <w:right w:w="4" w:type="dxa"/>
            </w:tcMar>
            <w:vAlign w:val="center"/>
            <w:hideMark/>
          </w:tcPr>
          <w:p w14:paraId="12831459"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16 451 404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9B04903" w14:textId="119BEC65" w:rsidR="00A2676B" w:rsidRPr="00A2676B" w:rsidRDefault="00771D3F" w:rsidP="00771D3F">
            <w:pPr>
              <w:jc w:val="center"/>
              <w:rPr>
                <w:rFonts w:ascii="Times New Roman" w:hAnsi="Times New Roman" w:cs="Times New Roman"/>
                <w:sz w:val="21"/>
                <w:szCs w:val="21"/>
              </w:rPr>
            </w:pPr>
            <w:r w:rsidRPr="00A2676B">
              <w:rPr>
                <w:rFonts w:ascii="Times New Roman" w:hAnsi="Times New Roman" w:cs="Times New Roman"/>
                <w:sz w:val="21"/>
                <w:szCs w:val="21"/>
              </w:rPr>
              <w:t>Univers Telecom</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AEDD827"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Réceptionné</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6189FE66"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Lot 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9D08E"/>
            <w:tcMar>
              <w:top w:w="4" w:type="dxa"/>
              <w:left w:w="4" w:type="dxa"/>
              <w:bottom w:w="20" w:type="dxa"/>
              <w:right w:w="4" w:type="dxa"/>
            </w:tcMar>
            <w:vAlign w:val="center"/>
            <w:hideMark/>
          </w:tcPr>
          <w:p w14:paraId="05F16BAC"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PAYE</w:t>
            </w:r>
          </w:p>
        </w:tc>
      </w:tr>
      <w:tr w:rsidR="00A2676B" w:rsidRPr="00A2676B" w14:paraId="48D9AC30" w14:textId="77777777" w:rsidTr="000A3553">
        <w:trPr>
          <w:trHeight w:val="33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389DC793"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Acquisition de logiciels (logiciel zoom, Ms Project)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7FE354F" w14:textId="77777777" w:rsidR="00A2676B" w:rsidRPr="00A2676B" w:rsidRDefault="00A2676B" w:rsidP="00A2676B">
            <w:pPr>
              <w:jc w:val="both"/>
              <w:rPr>
                <w:rFonts w:ascii="Times New Roman" w:hAnsi="Times New Roman" w:cs="Times New Roman"/>
                <w:sz w:val="21"/>
                <w:szCs w:val="21"/>
              </w:rPr>
            </w:pPr>
            <w:r w:rsidRPr="00A2676B">
              <w:rPr>
                <w:rFonts w:ascii="Times New Roman" w:hAnsi="Times New Roman" w:cs="Times New Roman"/>
                <w:sz w:val="21"/>
                <w:szCs w:val="21"/>
              </w:rPr>
              <w:t>Fourniture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0E4FE88D" w14:textId="77777777" w:rsidR="00A2676B" w:rsidRPr="00A2676B" w:rsidRDefault="00A2676B" w:rsidP="009806F4">
            <w:pPr>
              <w:jc w:val="center"/>
              <w:rPr>
                <w:rFonts w:ascii="Times New Roman" w:hAnsi="Times New Roman" w:cs="Times New Roman"/>
                <w:sz w:val="21"/>
                <w:szCs w:val="21"/>
              </w:rPr>
            </w:pPr>
            <w:r w:rsidRPr="00A2676B">
              <w:rPr>
                <w:rFonts w:ascii="Times New Roman" w:hAnsi="Times New Roman" w:cs="Times New Roman"/>
                <w:sz w:val="21"/>
                <w:szCs w:val="21"/>
              </w:rPr>
              <w:t>DRPR</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2A991C53" w14:textId="77777777" w:rsidR="00A2676B" w:rsidRPr="00A2676B" w:rsidRDefault="00A2676B" w:rsidP="00A2676B">
            <w:pPr>
              <w:jc w:val="right"/>
              <w:rPr>
                <w:rFonts w:ascii="Times New Roman" w:hAnsi="Times New Roman" w:cs="Times New Roman"/>
                <w:sz w:val="21"/>
                <w:szCs w:val="21"/>
              </w:rPr>
            </w:pPr>
            <w:r w:rsidRPr="00A2676B">
              <w:rPr>
                <w:rFonts w:ascii="Times New Roman" w:hAnsi="Times New Roman" w:cs="Times New Roman"/>
                <w:sz w:val="21"/>
                <w:szCs w:val="21"/>
              </w:rPr>
              <w:t>3 127 300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4EE07158" w14:textId="1C067D00" w:rsidR="00A2676B" w:rsidRPr="00A2676B" w:rsidRDefault="00771D3F" w:rsidP="00771D3F">
            <w:pPr>
              <w:jc w:val="center"/>
              <w:rPr>
                <w:rFonts w:ascii="Times New Roman" w:hAnsi="Times New Roman" w:cs="Times New Roman"/>
                <w:sz w:val="21"/>
                <w:szCs w:val="21"/>
              </w:rPr>
            </w:pPr>
            <w:r w:rsidRPr="00A2676B">
              <w:rPr>
                <w:rFonts w:ascii="Times New Roman" w:hAnsi="Times New Roman" w:cs="Times New Roman"/>
                <w:sz w:val="21"/>
                <w:szCs w:val="21"/>
              </w:rPr>
              <w:t>Delta Solution Informatique (</w:t>
            </w:r>
            <w:proofErr w:type="spellStart"/>
            <w:r w:rsidRPr="00A2676B">
              <w:rPr>
                <w:rFonts w:ascii="Times New Roman" w:hAnsi="Times New Roman" w:cs="Times New Roman"/>
                <w:sz w:val="21"/>
                <w:szCs w:val="21"/>
              </w:rPr>
              <w:t>Dsi</w:t>
            </w:r>
            <w:proofErr w:type="spellEnd"/>
            <w:r w:rsidRPr="00A2676B">
              <w:rPr>
                <w:rFonts w:ascii="Times New Roman" w:hAnsi="Times New Roman" w:cs="Times New Roman"/>
                <w:sz w:val="21"/>
                <w:szCs w:val="21"/>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hideMark/>
          </w:tcPr>
          <w:p w14:paraId="13692AF7" w14:textId="77777777" w:rsidR="00A2676B" w:rsidRPr="00A2676B" w:rsidRDefault="00A2676B" w:rsidP="00A2676B">
            <w:pPr>
              <w:jc w:val="center"/>
              <w:rPr>
                <w:rFonts w:ascii="Times New Roman" w:hAnsi="Times New Roman" w:cs="Times New Roman"/>
                <w:sz w:val="20"/>
                <w:szCs w:val="20"/>
              </w:rPr>
            </w:pPr>
            <w:r w:rsidRPr="00A2676B">
              <w:rPr>
                <w:rFonts w:ascii="Times New Roman" w:hAnsi="Times New Roman" w:cs="Times New Roman"/>
                <w:sz w:val="20"/>
                <w:szCs w:val="20"/>
              </w:rPr>
              <w:t>Réceptionné</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44A21215" w14:textId="77777777" w:rsidR="00A2676B" w:rsidRPr="00A2676B" w:rsidRDefault="00A2676B" w:rsidP="00A2676B">
            <w:pPr>
              <w:jc w:val="both"/>
              <w:rPr>
                <w:rFonts w:ascii="Times New Roman" w:hAnsi="Times New Roman" w:cs="Times New Roman"/>
                <w:sz w:val="21"/>
                <w:szCs w:val="21"/>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hideMark/>
          </w:tcPr>
          <w:p w14:paraId="189C8CFE" w14:textId="533B0708" w:rsidR="00A2676B" w:rsidRPr="00A2676B" w:rsidRDefault="00771D3F" w:rsidP="00A2676B">
            <w:pPr>
              <w:jc w:val="both"/>
              <w:rPr>
                <w:rFonts w:ascii="Times New Roman" w:hAnsi="Times New Roman" w:cs="Times New Roman"/>
                <w:sz w:val="21"/>
                <w:szCs w:val="21"/>
              </w:rPr>
            </w:pPr>
            <w:r>
              <w:rPr>
                <w:rFonts w:ascii="Times New Roman" w:hAnsi="Times New Roman" w:cs="Times New Roman"/>
                <w:sz w:val="21"/>
                <w:szCs w:val="21"/>
              </w:rPr>
              <w:t>Encours</w:t>
            </w:r>
          </w:p>
        </w:tc>
      </w:tr>
      <w:tr w:rsidR="00771D3F" w:rsidRPr="00A2676B" w14:paraId="6AC02969" w14:textId="77777777" w:rsidTr="000A3553">
        <w:trPr>
          <w:trHeight w:val="33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tcPr>
          <w:p w14:paraId="1AD7D805" w14:textId="724B27FB" w:rsidR="00771D3F" w:rsidRPr="00A2676B" w:rsidRDefault="00771D3F" w:rsidP="00A2676B">
            <w:pPr>
              <w:jc w:val="both"/>
              <w:rPr>
                <w:rFonts w:ascii="Times New Roman" w:hAnsi="Times New Roman" w:cs="Times New Roman"/>
                <w:sz w:val="21"/>
                <w:szCs w:val="21"/>
              </w:rPr>
            </w:pPr>
            <w:r>
              <w:rPr>
                <w:rFonts w:ascii="Times New Roman" w:hAnsi="Times New Roman" w:cs="Times New Roman"/>
                <w:sz w:val="21"/>
                <w:szCs w:val="21"/>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tcPr>
          <w:p w14:paraId="658700DF" w14:textId="77777777" w:rsidR="00771D3F" w:rsidRPr="00A2676B" w:rsidRDefault="00771D3F" w:rsidP="00A2676B">
            <w:pPr>
              <w:jc w:val="both"/>
              <w:rPr>
                <w:rFonts w:ascii="Times New Roman" w:hAnsi="Times New Roman" w:cs="Times New Roman"/>
                <w:sz w:val="21"/>
                <w:szCs w:val="21"/>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tcPr>
          <w:p w14:paraId="073948AD" w14:textId="77777777" w:rsidR="00771D3F" w:rsidRPr="00A2676B" w:rsidRDefault="00771D3F" w:rsidP="009806F4">
            <w:pPr>
              <w:jc w:val="center"/>
              <w:rPr>
                <w:rFonts w:ascii="Times New Roman" w:hAnsi="Times New Roman" w:cs="Times New Roman"/>
                <w:sz w:val="21"/>
                <w:szCs w:val="21"/>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tcPr>
          <w:p w14:paraId="3BA5CA46" w14:textId="5624E5CF" w:rsidR="00771D3F" w:rsidRPr="00A2676B" w:rsidRDefault="00771D3F" w:rsidP="00A2676B">
            <w:pPr>
              <w:jc w:val="right"/>
              <w:rPr>
                <w:rFonts w:ascii="Times New Roman" w:hAnsi="Times New Roman" w:cs="Times New Roman"/>
                <w:sz w:val="21"/>
                <w:szCs w:val="21"/>
              </w:rPr>
            </w:pPr>
            <w:r w:rsidRPr="00A2676B">
              <w:rPr>
                <w:rFonts w:ascii="Times New Roman" w:hAnsi="Times New Roman" w:cs="Times New Roman"/>
                <w:b/>
                <w:bCs/>
                <w:sz w:val="21"/>
                <w:szCs w:val="21"/>
              </w:rPr>
              <w:t>344 391 990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tcPr>
          <w:p w14:paraId="624DA676" w14:textId="77777777" w:rsidR="00771D3F" w:rsidRPr="00A2676B" w:rsidRDefault="00771D3F" w:rsidP="00A2676B">
            <w:pPr>
              <w:jc w:val="both"/>
              <w:rPr>
                <w:rFonts w:ascii="Times New Roman" w:hAnsi="Times New Roman" w:cs="Times New Roman"/>
                <w:sz w:val="21"/>
                <w:szCs w:val="21"/>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center"/>
          </w:tcPr>
          <w:p w14:paraId="57F7DE33" w14:textId="77777777" w:rsidR="00771D3F" w:rsidRPr="00A2676B" w:rsidRDefault="00771D3F" w:rsidP="00A2676B">
            <w:pPr>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tcPr>
          <w:p w14:paraId="5B14227E" w14:textId="77777777" w:rsidR="00771D3F" w:rsidRPr="00A2676B" w:rsidRDefault="00771D3F" w:rsidP="00A2676B">
            <w:pPr>
              <w:jc w:val="both"/>
              <w:rPr>
                <w:rFonts w:ascii="Times New Roman" w:hAnsi="Times New Roman" w:cs="Times New Roman"/>
                <w:sz w:val="21"/>
                <w:szCs w:val="21"/>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20" w:type="dxa"/>
              <w:right w:w="4" w:type="dxa"/>
            </w:tcMar>
            <w:vAlign w:val="bottom"/>
          </w:tcPr>
          <w:p w14:paraId="2E7C1F0E" w14:textId="77777777" w:rsidR="00771D3F" w:rsidRPr="00A2676B" w:rsidRDefault="00771D3F" w:rsidP="00A2676B">
            <w:pPr>
              <w:jc w:val="both"/>
              <w:rPr>
                <w:rFonts w:ascii="Times New Roman" w:hAnsi="Times New Roman" w:cs="Times New Roman"/>
                <w:sz w:val="21"/>
                <w:szCs w:val="21"/>
              </w:rPr>
            </w:pPr>
          </w:p>
        </w:tc>
      </w:tr>
    </w:tbl>
    <w:p w14:paraId="13BED78A" w14:textId="77777777" w:rsidR="00A2676B" w:rsidRDefault="00A2676B" w:rsidP="00BF13A3">
      <w:pPr>
        <w:jc w:val="both"/>
        <w:rPr>
          <w:rFonts w:ascii="Times New Roman" w:hAnsi="Times New Roman" w:cs="Times New Roman"/>
        </w:rPr>
      </w:pPr>
    </w:p>
    <w:p w14:paraId="662C9B99" w14:textId="77777777" w:rsidR="00A2676B" w:rsidRDefault="00A2676B" w:rsidP="00BF13A3">
      <w:pPr>
        <w:jc w:val="both"/>
        <w:rPr>
          <w:rFonts w:ascii="Times New Roman" w:hAnsi="Times New Roman" w:cs="Times New Roman"/>
        </w:rPr>
      </w:pPr>
    </w:p>
    <w:p w14:paraId="0946E874" w14:textId="0EAE5FA3" w:rsidR="00BF13A3" w:rsidRDefault="00024D90" w:rsidP="00FA5E85">
      <w:pPr>
        <w:pStyle w:val="Titre2"/>
      </w:pPr>
      <w:bookmarkStart w:id="76" w:name="_Toc102898113"/>
      <w:bookmarkStart w:id="77" w:name="_Toc102898170"/>
      <w:bookmarkStart w:id="78" w:name="_Toc102898217"/>
      <w:bookmarkStart w:id="79" w:name="_Toc103006580"/>
      <w:proofErr w:type="spellStart"/>
      <w:r>
        <w:t>Annee</w:t>
      </w:r>
      <w:proofErr w:type="spellEnd"/>
      <w:r w:rsidR="00885935">
        <w:t xml:space="preserve"> 2 : Impact institutionnel :</w:t>
      </w:r>
      <w:r w:rsidR="00902787">
        <w:t>DLI 7</w:t>
      </w:r>
      <w:bookmarkEnd w:id="76"/>
      <w:bookmarkEnd w:id="77"/>
      <w:bookmarkEnd w:id="78"/>
      <w:bookmarkEnd w:id="79"/>
      <w:r w:rsidR="00885935">
        <w:t> </w:t>
      </w:r>
    </w:p>
    <w:tbl>
      <w:tblPr>
        <w:tblStyle w:val="TableauGrille4-Accentuation1"/>
        <w:tblW w:w="5557" w:type="pct"/>
        <w:tblInd w:w="-431" w:type="dxa"/>
        <w:tblLook w:val="04A0" w:firstRow="1" w:lastRow="0" w:firstColumn="1" w:lastColumn="0" w:noHBand="0" w:noVBand="1"/>
      </w:tblPr>
      <w:tblGrid>
        <w:gridCol w:w="4557"/>
        <w:gridCol w:w="2937"/>
        <w:gridCol w:w="2571"/>
      </w:tblGrid>
      <w:tr w:rsidR="00BF13A3" w:rsidRPr="00885935" w14:paraId="116152A6" w14:textId="77777777" w:rsidTr="0090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pct"/>
          </w:tcPr>
          <w:p w14:paraId="177DCD79" w14:textId="072411D5" w:rsidR="00BF13A3" w:rsidRPr="00885935" w:rsidRDefault="00902787" w:rsidP="002B5E84">
            <w:pPr>
              <w:spacing w:before="120" w:after="120"/>
              <w:rPr>
                <w:b w:val="0"/>
                <w:sz w:val="21"/>
                <w:szCs w:val="21"/>
              </w:rPr>
            </w:pPr>
            <w:r w:rsidRPr="00885935">
              <w:rPr>
                <w:sz w:val="21"/>
                <w:szCs w:val="21"/>
              </w:rPr>
              <w:t>Descriptif</w:t>
            </w:r>
          </w:p>
        </w:tc>
        <w:tc>
          <w:tcPr>
            <w:tcW w:w="1459" w:type="pct"/>
          </w:tcPr>
          <w:p w14:paraId="50405F24" w14:textId="56ED8C44" w:rsidR="00BF13A3" w:rsidRPr="00885935" w:rsidRDefault="00BF13A3" w:rsidP="002B5E84">
            <w:pPr>
              <w:spacing w:before="120" w:after="120"/>
              <w:cnfStyle w:val="100000000000" w:firstRow="1" w:lastRow="0" w:firstColumn="0" w:lastColumn="0" w:oddVBand="0" w:evenVBand="0" w:oddHBand="0" w:evenHBand="0" w:firstRowFirstColumn="0" w:firstRowLastColumn="0" w:lastRowFirstColumn="0" w:lastRowLastColumn="0"/>
              <w:rPr>
                <w:b w:val="0"/>
                <w:sz w:val="21"/>
                <w:szCs w:val="21"/>
              </w:rPr>
            </w:pPr>
            <w:r w:rsidRPr="00885935">
              <w:rPr>
                <w:sz w:val="21"/>
                <w:szCs w:val="21"/>
              </w:rPr>
              <w:t>Engagements de l’UCAD</w:t>
            </w:r>
            <w:r w:rsidR="00902787" w:rsidRPr="00885935">
              <w:rPr>
                <w:sz w:val="21"/>
                <w:szCs w:val="21"/>
              </w:rPr>
              <w:t xml:space="preserve"> et à travers les CEA</w:t>
            </w:r>
          </w:p>
        </w:tc>
        <w:tc>
          <w:tcPr>
            <w:tcW w:w="1278" w:type="pct"/>
          </w:tcPr>
          <w:p w14:paraId="508ECD28" w14:textId="77777777" w:rsidR="00BF13A3" w:rsidRPr="00885935" w:rsidRDefault="00BF13A3" w:rsidP="002B5E84">
            <w:pPr>
              <w:spacing w:before="120" w:after="120"/>
              <w:cnfStyle w:val="100000000000" w:firstRow="1" w:lastRow="0" w:firstColumn="0" w:lastColumn="0" w:oddVBand="0" w:evenVBand="0" w:oddHBand="0" w:evenHBand="0" w:firstRowFirstColumn="0" w:firstRowLastColumn="0" w:lastRowFirstColumn="0" w:lastRowLastColumn="0"/>
              <w:rPr>
                <w:b w:val="0"/>
                <w:sz w:val="21"/>
                <w:szCs w:val="21"/>
              </w:rPr>
            </w:pPr>
            <w:r w:rsidRPr="00885935">
              <w:rPr>
                <w:sz w:val="21"/>
                <w:szCs w:val="21"/>
              </w:rPr>
              <w:t>Délais</w:t>
            </w:r>
          </w:p>
        </w:tc>
      </w:tr>
      <w:tr w:rsidR="00BF13A3" w:rsidRPr="00885935" w14:paraId="758DDA11" w14:textId="77777777" w:rsidTr="00902787">
        <w:trPr>
          <w:cnfStyle w:val="000000100000" w:firstRow="0" w:lastRow="0" w:firstColumn="0" w:lastColumn="0" w:oddVBand="0" w:evenVBand="0" w:oddHBand="1" w:evenHBand="0" w:firstRowFirstColumn="0" w:firstRowLastColumn="0" w:lastRowFirstColumn="0" w:lastRowLastColumn="0"/>
          <w:trHeight w:val="3472"/>
        </w:trPr>
        <w:tc>
          <w:tcPr>
            <w:cnfStyle w:val="001000000000" w:firstRow="0" w:lastRow="0" w:firstColumn="1" w:lastColumn="0" w:oddVBand="0" w:evenVBand="0" w:oddHBand="0" w:evenHBand="0" w:firstRowFirstColumn="0" w:firstRowLastColumn="0" w:lastRowFirstColumn="0" w:lastRowLastColumn="0"/>
            <w:tcW w:w="2264" w:type="pct"/>
            <w:vMerge w:val="restart"/>
          </w:tcPr>
          <w:p w14:paraId="5DAC58FC" w14:textId="77777777" w:rsidR="00BF13A3" w:rsidRPr="00885935" w:rsidRDefault="00BF13A3" w:rsidP="002B5E84">
            <w:pPr>
              <w:spacing w:before="120" w:after="120"/>
              <w:ind w:firstLine="27"/>
              <w:jc w:val="both"/>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 xml:space="preserve">La construction d’un R+5 implique des exigences techniques différentes, le processus déjà entamé par AGIR pour la construction du R+1 devra donc être repris, notamment les études techniques et le plan de gestion environnemental et social (PGES). Ce qui risque de retarder les activités du centre dans le cadre du projet CEA Impact. Un plan d’action respectant les délais du projet CEA Impact sera transmis à la Banque mondiale. </w:t>
            </w:r>
          </w:p>
          <w:p w14:paraId="37DE9B9B" w14:textId="77777777" w:rsidR="00BF13A3" w:rsidRPr="00885935" w:rsidRDefault="00BF13A3" w:rsidP="002B5E84">
            <w:pPr>
              <w:spacing w:before="120" w:after="120"/>
              <w:jc w:val="both"/>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Une étude technique (architecturale et géotechnique) devra être soumis à la Banque afin de permettre une meilleure évaluation de la note conceptuelle, particulièrement en termes de risques sociaux environnementaux et financiers par l’équipe de la Banque.</w:t>
            </w:r>
          </w:p>
        </w:tc>
        <w:tc>
          <w:tcPr>
            <w:tcW w:w="1459" w:type="pct"/>
          </w:tcPr>
          <w:p w14:paraId="72045DE6" w14:textId="77777777" w:rsidR="00BF13A3" w:rsidRPr="00885935" w:rsidRDefault="00BF13A3" w:rsidP="002B5E84">
            <w:p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Les études architecturales et structurales de l’édifice seront réalisées sur financement propre de l’UCAD et soumises à la banque dans les meilleurs délais.</w:t>
            </w:r>
          </w:p>
          <w:p w14:paraId="2C934388" w14:textId="77777777" w:rsidR="00BF13A3" w:rsidRPr="00885935" w:rsidRDefault="00BF13A3" w:rsidP="002B5E84">
            <w:p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Des rencontres ayant regroupé le Secrétaire Général de l’UCAD, les Directeurs des services centraux et les Coordonnateurs de CEA ont été organisées avec le cabinet d’architecte pressenti pour exécuter ces différentes études. Des engagements fermes ont été pris sur les livrables et sur les délais d’exécution :</w:t>
            </w:r>
          </w:p>
          <w:p w14:paraId="28927F5D" w14:textId="77777777" w:rsidR="00BF13A3" w:rsidRPr="00885935" w:rsidRDefault="00BF13A3" w:rsidP="002B5E84">
            <w:pPr>
              <w:pStyle w:val="Paragraphedeliste"/>
              <w:numPr>
                <w:ilvl w:val="0"/>
                <w:numId w:val="1"/>
              </w:num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 xml:space="preserve">A1 : Études Géotechniques : </w:t>
            </w:r>
            <w:r w:rsidRPr="00885935">
              <w:rPr>
                <w:b/>
                <w:bCs/>
                <w:sz w:val="21"/>
                <w:szCs w:val="21"/>
              </w:rPr>
              <w:t>15 jours</w:t>
            </w:r>
          </w:p>
          <w:p w14:paraId="172CED27" w14:textId="77777777" w:rsidR="00BF13A3" w:rsidRPr="00885935" w:rsidRDefault="00BF13A3" w:rsidP="002B5E84">
            <w:pPr>
              <w:pStyle w:val="Paragraphedeliste"/>
              <w:numPr>
                <w:ilvl w:val="0"/>
                <w:numId w:val="1"/>
              </w:num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lastRenderedPageBreak/>
              <w:t xml:space="preserve">A2 : Études architectures </w:t>
            </w:r>
            <w:r w:rsidRPr="00885935">
              <w:rPr>
                <w:b/>
                <w:bCs/>
                <w:sz w:val="21"/>
                <w:szCs w:val="21"/>
              </w:rPr>
              <w:t>(1 mois)</w:t>
            </w:r>
          </w:p>
          <w:p w14:paraId="3192A6E5" w14:textId="77777777" w:rsidR="00BF13A3" w:rsidRPr="00885935" w:rsidRDefault="00BF13A3" w:rsidP="002B5E84">
            <w:pPr>
              <w:pStyle w:val="Paragraphedeliste"/>
              <w:numPr>
                <w:ilvl w:val="0"/>
                <w:numId w:val="1"/>
              </w:num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A3 Études de structures et des lots techniques (</w:t>
            </w:r>
            <w:r w:rsidRPr="00885935">
              <w:rPr>
                <w:b/>
                <w:bCs/>
                <w:sz w:val="21"/>
                <w:szCs w:val="21"/>
              </w:rPr>
              <w:t>1 mois)</w:t>
            </w:r>
          </w:p>
          <w:p w14:paraId="62195BBB" w14:textId="77777777" w:rsidR="00BF13A3" w:rsidRPr="00885935" w:rsidRDefault="00BF13A3" w:rsidP="002B5E84">
            <w:pPr>
              <w:pStyle w:val="Paragraphedeliste"/>
              <w:numPr>
                <w:ilvl w:val="0"/>
                <w:numId w:val="1"/>
              </w:num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 xml:space="preserve">Constructions : </w:t>
            </w:r>
            <w:r w:rsidRPr="00885935">
              <w:rPr>
                <w:b/>
                <w:bCs/>
                <w:sz w:val="21"/>
                <w:szCs w:val="21"/>
              </w:rPr>
              <w:t>20 mois</w:t>
            </w:r>
          </w:p>
        </w:tc>
        <w:tc>
          <w:tcPr>
            <w:tcW w:w="1278" w:type="pct"/>
          </w:tcPr>
          <w:p w14:paraId="01E10C26"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885935">
              <w:rPr>
                <w:b/>
                <w:bCs/>
                <w:sz w:val="21"/>
                <w:szCs w:val="21"/>
              </w:rPr>
              <w:lastRenderedPageBreak/>
              <w:t>Études (architecture, structure, géotechniques)</w:t>
            </w:r>
            <w:r w:rsidRPr="00885935">
              <w:rPr>
                <w:sz w:val="21"/>
                <w:szCs w:val="21"/>
              </w:rPr>
              <w:t> : 3 mai à 3 juillet 2022</w:t>
            </w:r>
          </w:p>
          <w:p w14:paraId="319BC0E8"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885935">
              <w:rPr>
                <w:b/>
                <w:bCs/>
                <w:sz w:val="21"/>
                <w:szCs w:val="21"/>
              </w:rPr>
              <w:t>Appel d’offre :</w:t>
            </w:r>
            <w:r w:rsidRPr="00885935">
              <w:rPr>
                <w:sz w:val="21"/>
                <w:szCs w:val="21"/>
              </w:rPr>
              <w:t xml:space="preserve"> 5 juillet au 5 août 2022</w:t>
            </w:r>
          </w:p>
          <w:p w14:paraId="3F44597A"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885935">
              <w:rPr>
                <w:b/>
                <w:bCs/>
                <w:sz w:val="21"/>
                <w:szCs w:val="21"/>
              </w:rPr>
              <w:t>Sélection du prestataire</w:t>
            </w:r>
            <w:r w:rsidRPr="00885935">
              <w:rPr>
                <w:sz w:val="21"/>
                <w:szCs w:val="21"/>
              </w:rPr>
              <w:t xml:space="preserve"> : 5 – 15 août 2022</w:t>
            </w:r>
          </w:p>
          <w:p w14:paraId="3C297BF5"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885935">
              <w:rPr>
                <w:b/>
                <w:bCs/>
                <w:sz w:val="21"/>
                <w:szCs w:val="21"/>
              </w:rPr>
              <w:t>Constructions</w:t>
            </w:r>
            <w:r w:rsidRPr="00885935">
              <w:rPr>
                <w:sz w:val="21"/>
                <w:szCs w:val="21"/>
              </w:rPr>
              <w:t> : 15 Septembre 2022 au 31 Mai 2024</w:t>
            </w:r>
          </w:p>
          <w:p w14:paraId="1E85294B"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p>
        </w:tc>
      </w:tr>
      <w:tr w:rsidR="00BF13A3" w:rsidRPr="00885935" w14:paraId="7E87D5D8" w14:textId="77777777" w:rsidTr="00902787">
        <w:tc>
          <w:tcPr>
            <w:cnfStyle w:val="001000000000" w:firstRow="0" w:lastRow="0" w:firstColumn="1" w:lastColumn="0" w:oddVBand="0" w:evenVBand="0" w:oddHBand="0" w:evenHBand="0" w:firstRowFirstColumn="0" w:firstRowLastColumn="0" w:lastRowFirstColumn="0" w:lastRowLastColumn="0"/>
            <w:tcW w:w="2264" w:type="pct"/>
            <w:vMerge/>
          </w:tcPr>
          <w:p w14:paraId="5DF3A460" w14:textId="77777777" w:rsidR="00BF13A3" w:rsidRPr="00885935" w:rsidRDefault="00BF13A3" w:rsidP="002B5E84">
            <w:pPr>
              <w:spacing w:before="120" w:after="120"/>
              <w:ind w:left="360" w:hanging="360"/>
              <w:rPr>
                <w:rFonts w:ascii="Calibri" w:eastAsia="Times New Roman" w:hAnsi="Calibri" w:cs="Calibri"/>
                <w:sz w:val="21"/>
                <w:szCs w:val="21"/>
                <w:lang w:eastAsia="fr-FR"/>
              </w:rPr>
            </w:pPr>
          </w:p>
        </w:tc>
        <w:tc>
          <w:tcPr>
            <w:tcW w:w="1459" w:type="pct"/>
          </w:tcPr>
          <w:p w14:paraId="66F5EDC9" w14:textId="56713F59" w:rsidR="00BF13A3" w:rsidRPr="00885935" w:rsidRDefault="00BF13A3" w:rsidP="002B5E84">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fr-FR"/>
              </w:rPr>
            </w:pPr>
            <w:r w:rsidRPr="00885935">
              <w:rPr>
                <w:rFonts w:ascii="Calibri" w:eastAsia="Times New Roman" w:hAnsi="Calibri" w:cs="Calibri"/>
                <w:sz w:val="21"/>
                <w:szCs w:val="21"/>
                <w:lang w:eastAsia="fr-FR"/>
              </w:rPr>
              <w:t>Le plan de gestion environnemental</w:t>
            </w:r>
            <w:r w:rsidR="00781B55">
              <w:rPr>
                <w:rFonts w:ascii="Calibri" w:eastAsia="Times New Roman" w:hAnsi="Calibri" w:cs="Calibri"/>
                <w:sz w:val="21"/>
                <w:szCs w:val="21"/>
                <w:lang w:eastAsia="fr-FR"/>
              </w:rPr>
              <w:t>e</w:t>
            </w:r>
            <w:r w:rsidRPr="00885935">
              <w:rPr>
                <w:rFonts w:ascii="Calibri" w:eastAsia="Times New Roman" w:hAnsi="Calibri" w:cs="Calibri"/>
                <w:sz w:val="21"/>
                <w:szCs w:val="21"/>
                <w:lang w:eastAsia="fr-FR"/>
              </w:rPr>
              <w:t xml:space="preserve"> et social</w:t>
            </w:r>
            <w:r w:rsidR="00781B55">
              <w:rPr>
                <w:rFonts w:ascii="Calibri" w:eastAsia="Times New Roman" w:hAnsi="Calibri" w:cs="Calibri"/>
                <w:sz w:val="21"/>
                <w:szCs w:val="21"/>
                <w:lang w:eastAsia="fr-FR"/>
              </w:rPr>
              <w:t>e</w:t>
            </w:r>
            <w:r w:rsidRPr="00885935">
              <w:rPr>
                <w:rFonts w:ascii="Calibri" w:eastAsia="Times New Roman" w:hAnsi="Calibri" w:cs="Calibri"/>
                <w:sz w:val="21"/>
                <w:szCs w:val="21"/>
                <w:lang w:eastAsia="fr-FR"/>
              </w:rPr>
              <w:t xml:space="preserve"> (PGES) sera réactualisé pour prendre en compte l’édifice R+5.</w:t>
            </w:r>
          </w:p>
          <w:p w14:paraId="03B01BFA" w14:textId="77777777" w:rsidR="00BF13A3" w:rsidRPr="00885935" w:rsidRDefault="00BF13A3" w:rsidP="002B5E84">
            <w:pPr>
              <w:spacing w:before="120" w:after="120"/>
              <w:jc w:val="both"/>
              <w:cnfStyle w:val="000000000000" w:firstRow="0" w:lastRow="0" w:firstColumn="0" w:lastColumn="0" w:oddVBand="0" w:evenVBand="0" w:oddHBand="0" w:evenHBand="0" w:firstRowFirstColumn="0" w:firstRowLastColumn="0" w:lastRowFirstColumn="0" w:lastRowLastColumn="0"/>
              <w:rPr>
                <w:sz w:val="21"/>
                <w:szCs w:val="21"/>
              </w:rPr>
            </w:pPr>
            <w:r w:rsidRPr="00885935">
              <w:rPr>
                <w:rFonts w:ascii="Calibri" w:eastAsia="Times New Roman" w:hAnsi="Calibri" w:cs="Calibri"/>
                <w:sz w:val="21"/>
                <w:szCs w:val="21"/>
                <w:lang w:eastAsia="fr-FR"/>
              </w:rPr>
              <w:t xml:space="preserve">Une rencontre a été organisée avec le Consultant du PGES qui promet de réactualiser le plan en </w:t>
            </w:r>
            <w:r w:rsidRPr="00885935">
              <w:rPr>
                <w:rFonts w:ascii="Calibri" w:eastAsia="Times New Roman" w:hAnsi="Calibri" w:cs="Calibri"/>
                <w:b/>
                <w:bCs/>
                <w:sz w:val="21"/>
                <w:szCs w:val="21"/>
                <w:lang w:eastAsia="fr-FR"/>
              </w:rPr>
              <w:t>45 jours.</w:t>
            </w:r>
          </w:p>
        </w:tc>
        <w:tc>
          <w:tcPr>
            <w:tcW w:w="1278" w:type="pct"/>
          </w:tcPr>
          <w:p w14:paraId="162E0523" w14:textId="77777777" w:rsidR="00BF13A3" w:rsidRPr="00885935" w:rsidRDefault="00BF13A3" w:rsidP="002B5E84">
            <w:pPr>
              <w:spacing w:before="120" w:after="120"/>
              <w:cnfStyle w:val="000000000000" w:firstRow="0" w:lastRow="0" w:firstColumn="0" w:lastColumn="0" w:oddVBand="0" w:evenVBand="0" w:oddHBand="0" w:evenHBand="0" w:firstRowFirstColumn="0" w:firstRowLastColumn="0" w:lastRowFirstColumn="0" w:lastRowLastColumn="0"/>
              <w:rPr>
                <w:b/>
                <w:bCs/>
                <w:sz w:val="21"/>
                <w:szCs w:val="21"/>
              </w:rPr>
            </w:pPr>
            <w:r w:rsidRPr="00885935">
              <w:rPr>
                <w:b/>
                <w:bCs/>
                <w:sz w:val="21"/>
                <w:szCs w:val="21"/>
              </w:rPr>
              <w:t>Actualisation PGES : 3 mai - 20 juin 2022</w:t>
            </w:r>
          </w:p>
        </w:tc>
      </w:tr>
      <w:tr w:rsidR="00BF13A3" w:rsidRPr="00885935" w14:paraId="3F750946" w14:textId="77777777" w:rsidTr="0090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pct"/>
          </w:tcPr>
          <w:p w14:paraId="3C23C045" w14:textId="77777777" w:rsidR="00BF13A3" w:rsidRPr="00885935" w:rsidRDefault="00BF13A3" w:rsidP="002B5E84">
            <w:pPr>
              <w:spacing w:before="120" w:after="120"/>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Nous proposons également d’organiser une visite du terrain attribué pour la construction avec l’équipe de l’UCAD et la Banque mondiale</w:t>
            </w:r>
          </w:p>
        </w:tc>
        <w:tc>
          <w:tcPr>
            <w:tcW w:w="1459" w:type="pct"/>
          </w:tcPr>
          <w:p w14:paraId="4293FA32" w14:textId="77777777" w:rsidR="00BF13A3" w:rsidRPr="00885935" w:rsidRDefault="00BF13A3" w:rsidP="002B5E84">
            <w:p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L’arrêté d’affectation du terrain a été pris par le Recteur (Arrêté N° 000229 /UCAD/RECT/SG/DGDU du 27 janvier 2022)</w:t>
            </w:r>
          </w:p>
          <w:p w14:paraId="41F235EB" w14:textId="77777777" w:rsidR="00BF13A3" w:rsidRPr="00885935" w:rsidRDefault="00BF13A3" w:rsidP="002B5E84">
            <w:p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Les services de l’UCAD organiseront une visite du site dédié à cette infrastructure à la date qui conviendrait à la Banque mondiale</w:t>
            </w:r>
          </w:p>
        </w:tc>
        <w:tc>
          <w:tcPr>
            <w:tcW w:w="1278" w:type="pct"/>
          </w:tcPr>
          <w:p w14:paraId="040B457A"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b/>
                <w:bCs/>
                <w:sz w:val="21"/>
                <w:szCs w:val="21"/>
              </w:rPr>
            </w:pPr>
            <w:r w:rsidRPr="00885935">
              <w:rPr>
                <w:b/>
                <w:bCs/>
                <w:sz w:val="21"/>
                <w:szCs w:val="21"/>
              </w:rPr>
              <w:t xml:space="preserve">Date à choisir par l’expert de la banque Mondiale </w:t>
            </w:r>
          </w:p>
        </w:tc>
      </w:tr>
      <w:tr w:rsidR="00BF13A3" w:rsidRPr="00885935" w14:paraId="29947A38" w14:textId="77777777" w:rsidTr="00902787">
        <w:tc>
          <w:tcPr>
            <w:cnfStyle w:val="001000000000" w:firstRow="0" w:lastRow="0" w:firstColumn="1" w:lastColumn="0" w:oddVBand="0" w:evenVBand="0" w:oddHBand="0" w:evenHBand="0" w:firstRowFirstColumn="0" w:firstRowLastColumn="0" w:lastRowFirstColumn="0" w:lastRowLastColumn="0"/>
            <w:tcW w:w="2264" w:type="pct"/>
          </w:tcPr>
          <w:p w14:paraId="07F1A5DD" w14:textId="77777777" w:rsidR="00BF13A3" w:rsidRPr="00885935" w:rsidRDefault="00BF13A3" w:rsidP="00902787">
            <w:pPr>
              <w:spacing w:before="120" w:after="120"/>
              <w:jc w:val="both"/>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Concernant le gap de financement, les centres et le Ministère ont indiqué que les ressources additionnelles seront mobilisées sur fonds propres. Une note d’information sur les modalités et le calendrier de cette contribution sera transmise à la Banque mondiale.</w:t>
            </w:r>
          </w:p>
          <w:p w14:paraId="5C74C42F" w14:textId="77777777" w:rsidR="00BF13A3" w:rsidRPr="00885935" w:rsidRDefault="00BF13A3" w:rsidP="00902787">
            <w:pPr>
              <w:spacing w:before="120" w:after="120"/>
              <w:jc w:val="both"/>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La proposition initiale prévoyait mobiliser 500 millions FCFA de l’ILD 4.3 d’où une différence de 200 millions FCFA.</w:t>
            </w:r>
          </w:p>
          <w:p w14:paraId="0697220F" w14:textId="77777777" w:rsidR="00BF13A3" w:rsidRPr="00885935" w:rsidRDefault="00BF13A3" w:rsidP="00902787">
            <w:pPr>
              <w:spacing w:before="120" w:after="120"/>
              <w:jc w:val="both"/>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La proposition initiale pour L’ILD 5.3 prévoyait mobiliser 300 millions FCFA de l’ILD 5.3 d’où une différence de 200 millions FCFA.</w:t>
            </w:r>
          </w:p>
          <w:p w14:paraId="6F024AE6" w14:textId="77777777" w:rsidR="00BF13A3" w:rsidRPr="00885935" w:rsidRDefault="00BF13A3" w:rsidP="00902787">
            <w:pPr>
              <w:spacing w:before="120" w:after="120"/>
              <w:jc w:val="both"/>
              <w:rPr>
                <w:b w:val="0"/>
                <w:bCs w:val="0"/>
                <w:sz w:val="21"/>
                <w:szCs w:val="21"/>
              </w:rPr>
            </w:pPr>
            <w:r w:rsidRPr="00885935">
              <w:rPr>
                <w:rFonts w:ascii="Calibri" w:eastAsia="Times New Roman" w:hAnsi="Calibri" w:cs="Calibri"/>
                <w:b w:val="0"/>
                <w:bCs w:val="0"/>
                <w:sz w:val="21"/>
                <w:szCs w:val="21"/>
                <w:lang w:eastAsia="fr-FR"/>
              </w:rPr>
              <w:t xml:space="preserve">Le coût total pour la construction du bâtiment R+5 est estimé à environ 1,6 milliard FCFA sur lesquels les trois centres contribueront à environ 1,2 milliard avec les résultats obtenus dans le cadre du </w:t>
            </w:r>
            <w:r w:rsidRPr="00885935">
              <w:rPr>
                <w:rFonts w:ascii="Calibri" w:eastAsia="Times New Roman" w:hAnsi="Calibri" w:cs="Calibri"/>
                <w:b w:val="0"/>
                <w:bCs w:val="0"/>
                <w:sz w:val="21"/>
                <w:szCs w:val="21"/>
                <w:lang w:eastAsia="fr-FR"/>
              </w:rPr>
              <w:lastRenderedPageBreak/>
              <w:t>CEA Impact, un gap de 400 millions FCFA reste à couvrir.</w:t>
            </w:r>
          </w:p>
        </w:tc>
        <w:tc>
          <w:tcPr>
            <w:tcW w:w="1459" w:type="pct"/>
          </w:tcPr>
          <w:p w14:paraId="46005543" w14:textId="77777777" w:rsidR="00BF13A3" w:rsidRPr="00885935" w:rsidRDefault="00BF13A3" w:rsidP="002B5E84">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fr-FR"/>
              </w:rPr>
            </w:pPr>
            <w:r w:rsidRPr="00885935">
              <w:rPr>
                <w:rFonts w:ascii="Calibri" w:eastAsia="Times New Roman" w:hAnsi="Calibri" w:cs="Calibri"/>
                <w:sz w:val="21"/>
                <w:szCs w:val="21"/>
                <w:lang w:eastAsia="fr-FR"/>
              </w:rPr>
              <w:lastRenderedPageBreak/>
              <w:t xml:space="preserve">Des stratégies de mobilisation du gap de 400 millions sont en cours. </w:t>
            </w:r>
          </w:p>
          <w:p w14:paraId="15D3C0FC" w14:textId="77777777" w:rsidR="00BF13A3" w:rsidRPr="00885935" w:rsidRDefault="00BF13A3" w:rsidP="002B5E84">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fr-FR"/>
              </w:rPr>
            </w:pPr>
            <w:r w:rsidRPr="00885935">
              <w:rPr>
                <w:rFonts w:ascii="Calibri" w:eastAsia="Times New Roman" w:hAnsi="Calibri" w:cs="Calibri"/>
                <w:sz w:val="21"/>
                <w:szCs w:val="21"/>
                <w:lang w:eastAsia="fr-FR"/>
              </w:rPr>
              <w:t>Une évaluation précise du coût de la construction par le cabinet d’architecture est en cours.</w:t>
            </w:r>
          </w:p>
          <w:p w14:paraId="779F4E9F" w14:textId="77777777" w:rsidR="00BF13A3" w:rsidRPr="00885935" w:rsidRDefault="00BF13A3" w:rsidP="002B5E84">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fr-FR"/>
              </w:rPr>
            </w:pPr>
            <w:r w:rsidRPr="00885935">
              <w:rPr>
                <w:rFonts w:ascii="Calibri" w:eastAsia="Times New Roman" w:hAnsi="Calibri" w:cs="Calibri"/>
                <w:sz w:val="21"/>
                <w:szCs w:val="21"/>
                <w:lang w:eastAsia="fr-FR"/>
              </w:rPr>
              <w:t>Une note d’information sur les modalités et le calendrier de cette contribution sera transmise à la Banque mondiale.</w:t>
            </w:r>
          </w:p>
        </w:tc>
        <w:tc>
          <w:tcPr>
            <w:tcW w:w="1278" w:type="pct"/>
          </w:tcPr>
          <w:p w14:paraId="35982A1D" w14:textId="77777777" w:rsidR="00BF13A3" w:rsidRPr="00885935" w:rsidRDefault="00BF13A3" w:rsidP="002B5E84">
            <w:pPr>
              <w:spacing w:before="120" w:after="120"/>
              <w:cnfStyle w:val="000000000000" w:firstRow="0" w:lastRow="0" w:firstColumn="0" w:lastColumn="0" w:oddVBand="0" w:evenVBand="0" w:oddHBand="0" w:evenHBand="0" w:firstRowFirstColumn="0" w:firstRowLastColumn="0" w:lastRowFirstColumn="0" w:lastRowLastColumn="0"/>
              <w:rPr>
                <w:b/>
                <w:bCs/>
                <w:sz w:val="21"/>
                <w:szCs w:val="21"/>
              </w:rPr>
            </w:pPr>
            <w:r w:rsidRPr="00885935">
              <w:rPr>
                <w:rFonts w:ascii="Calibri" w:eastAsia="Times New Roman" w:hAnsi="Calibri" w:cs="Calibri"/>
                <w:b/>
                <w:bCs/>
                <w:sz w:val="21"/>
                <w:szCs w:val="21"/>
                <w:lang w:eastAsia="fr-FR"/>
              </w:rPr>
              <w:t xml:space="preserve">Une note d’information : </w:t>
            </w:r>
            <w:r w:rsidRPr="00885935">
              <w:rPr>
                <w:b/>
                <w:bCs/>
                <w:sz w:val="21"/>
                <w:szCs w:val="21"/>
              </w:rPr>
              <w:t>31 mai 2022</w:t>
            </w:r>
          </w:p>
        </w:tc>
      </w:tr>
      <w:tr w:rsidR="00BF13A3" w:rsidRPr="00885935" w14:paraId="69AA9494" w14:textId="77777777" w:rsidTr="0090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pct"/>
          </w:tcPr>
          <w:p w14:paraId="40218E76" w14:textId="77777777" w:rsidR="00BF13A3" w:rsidRPr="00885935" w:rsidRDefault="00BF13A3" w:rsidP="002B5E84">
            <w:pPr>
              <w:spacing w:before="120" w:after="120"/>
              <w:jc w:val="both"/>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 xml:space="preserve">L’ILD 4.3 pour AGIR ne sera pas modifié et portera sur la construction du bâtiment jusqu’au niveau R+1 et les fonds décaissés pour l’atteinte des deux jalons ($600,000 soit 300 millions FCFA) seront dédiés pour la construction des autres niveaux du bâtiment sous réserve que les plans architecturaux soient modifiés ainsi que les études environnementales et sociales. </w:t>
            </w:r>
          </w:p>
          <w:p w14:paraId="62630FB8" w14:textId="77777777" w:rsidR="00BF13A3" w:rsidRPr="00885935" w:rsidRDefault="00BF13A3" w:rsidP="002B5E84">
            <w:pPr>
              <w:spacing w:before="120" w:after="120"/>
              <w:jc w:val="both"/>
              <w:rPr>
                <w:rFonts w:ascii="Calibri" w:eastAsia="Times New Roman" w:hAnsi="Calibri" w:cs="Calibri"/>
                <w:b w:val="0"/>
                <w:bCs w:val="0"/>
                <w:sz w:val="21"/>
                <w:szCs w:val="21"/>
                <w:lang w:eastAsia="fr-FR"/>
              </w:rPr>
            </w:pPr>
            <w:r w:rsidRPr="00885935">
              <w:rPr>
                <w:rFonts w:ascii="Calibri" w:eastAsia="Times New Roman" w:hAnsi="Calibri" w:cs="Calibri"/>
                <w:b w:val="0"/>
                <w:bCs w:val="0"/>
                <w:sz w:val="21"/>
                <w:szCs w:val="21"/>
                <w:lang w:eastAsia="fr-FR"/>
              </w:rPr>
              <w:t>L’ILD 5.3 également ne sera pas modifiés et les gains obtenus par les deux centres AGIR et AGRISAN pour l’atteinte de ces jalons (1 jalon de $100,000 par centre – soit un total de $200,000 équivalant à environ 100 millions FCFA) seront également dédiés pour la construction des autres niveaux.</w:t>
            </w:r>
          </w:p>
        </w:tc>
        <w:tc>
          <w:tcPr>
            <w:tcW w:w="1459" w:type="pct"/>
          </w:tcPr>
          <w:p w14:paraId="0D5EF14B" w14:textId="77777777" w:rsidR="00BF13A3" w:rsidRPr="00885935" w:rsidRDefault="00BF13A3" w:rsidP="002B5E84">
            <w:pPr>
              <w:pStyle w:val="Listepuces"/>
              <w:numPr>
                <w:ilvl w:val="0"/>
                <w:numId w:val="0"/>
              </w:numPr>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Des dispositions sont prises pour la réactualisation du PGES et des plans architecturaux</w:t>
            </w:r>
          </w:p>
        </w:tc>
        <w:tc>
          <w:tcPr>
            <w:tcW w:w="1278" w:type="pct"/>
          </w:tcPr>
          <w:p w14:paraId="0E5B8FDC"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b/>
                <w:bCs/>
                <w:sz w:val="21"/>
                <w:szCs w:val="21"/>
              </w:rPr>
            </w:pPr>
            <w:r w:rsidRPr="00885935">
              <w:rPr>
                <w:b/>
                <w:bCs/>
                <w:sz w:val="21"/>
                <w:szCs w:val="21"/>
              </w:rPr>
              <w:t>Actualisation PGES : 3 mai - 20 juin 2022</w:t>
            </w:r>
          </w:p>
        </w:tc>
      </w:tr>
      <w:tr w:rsidR="00BF13A3" w:rsidRPr="00885935" w14:paraId="35CC74A3" w14:textId="77777777" w:rsidTr="00902787">
        <w:tc>
          <w:tcPr>
            <w:cnfStyle w:val="001000000000" w:firstRow="0" w:lastRow="0" w:firstColumn="1" w:lastColumn="0" w:oddVBand="0" w:evenVBand="0" w:oddHBand="0" w:evenHBand="0" w:firstRowFirstColumn="0" w:firstRowLastColumn="0" w:lastRowFirstColumn="0" w:lastRowLastColumn="0"/>
            <w:tcW w:w="2264" w:type="pct"/>
          </w:tcPr>
          <w:p w14:paraId="5012F1AB" w14:textId="77777777" w:rsidR="00BF13A3" w:rsidRPr="00885935" w:rsidRDefault="00BF13A3" w:rsidP="002B5E84">
            <w:pPr>
              <w:spacing w:before="120" w:after="120"/>
              <w:jc w:val="both"/>
              <w:rPr>
                <w:b w:val="0"/>
                <w:bCs w:val="0"/>
                <w:sz w:val="21"/>
                <w:szCs w:val="21"/>
              </w:rPr>
            </w:pPr>
            <w:r w:rsidRPr="00885935">
              <w:rPr>
                <w:rFonts w:ascii="Calibri" w:eastAsia="Times New Roman" w:hAnsi="Calibri" w:cs="Calibri"/>
                <w:b w:val="0"/>
                <w:bCs w:val="0"/>
                <w:sz w:val="21"/>
                <w:szCs w:val="21"/>
                <w:lang w:eastAsia="fr-FR"/>
              </w:rPr>
              <w:t>L’intégralité des montants alloués aux résultats (RLD) de l’indicateur 7 sur l’impact institutionnel (Total de $1,35 millions soit 777 millions FCFA) seront dédiés à la construction du bâtiment et toutes les activités seront mis à jour et regroupées en plusieurs jalons sous le RLD 7.5. Cela implique que les fonds seront décaissés au fur et à mesure que les jalons sont atteints et que le dernier jalon devra être l’achèvement/livraison du bâtiment totalement équipé et fonctionnel. Cela dans les délais du projet à savoir 6 mois avant la fin du projet (soit Décembre 2024, en considérant que le projet est prolongé jusqu’en juin 2025).</w:t>
            </w:r>
          </w:p>
        </w:tc>
        <w:tc>
          <w:tcPr>
            <w:tcW w:w="1459" w:type="pct"/>
          </w:tcPr>
          <w:p w14:paraId="01CE0949" w14:textId="77777777" w:rsidR="00BF13A3" w:rsidRPr="00885935" w:rsidRDefault="00BF13A3" w:rsidP="002B5E84">
            <w:pPr>
              <w:spacing w:before="120" w:after="120"/>
              <w:jc w:val="both"/>
              <w:cnfStyle w:val="000000000000" w:firstRow="0" w:lastRow="0" w:firstColumn="0" w:lastColumn="0" w:oddVBand="0" w:evenVBand="0" w:oddHBand="0" w:evenHBand="0" w:firstRowFirstColumn="0" w:firstRowLastColumn="0" w:lastRowFirstColumn="0" w:lastRowLastColumn="0"/>
              <w:rPr>
                <w:sz w:val="21"/>
                <w:szCs w:val="21"/>
              </w:rPr>
            </w:pPr>
            <w:r w:rsidRPr="00885935">
              <w:rPr>
                <w:sz w:val="21"/>
                <w:szCs w:val="21"/>
              </w:rPr>
              <w:t>L’UCAD s’engage à mobiliser les moyens nécessaires pour l’exécution de ce marché et dans les temps impartis du projet et à respecter le délai de livraison du bâtiment construit et équipé</w:t>
            </w:r>
          </w:p>
        </w:tc>
        <w:tc>
          <w:tcPr>
            <w:tcW w:w="1278" w:type="pct"/>
          </w:tcPr>
          <w:p w14:paraId="5846F907" w14:textId="77777777" w:rsidR="00BF13A3" w:rsidRPr="00885935" w:rsidRDefault="00BF13A3" w:rsidP="002B5E84">
            <w:pPr>
              <w:spacing w:before="120" w:after="120"/>
              <w:cnfStyle w:val="000000000000" w:firstRow="0" w:lastRow="0" w:firstColumn="0" w:lastColumn="0" w:oddVBand="0" w:evenVBand="0" w:oddHBand="0" w:evenHBand="0" w:firstRowFirstColumn="0" w:firstRowLastColumn="0" w:lastRowFirstColumn="0" w:lastRowLastColumn="0"/>
              <w:rPr>
                <w:b/>
                <w:bCs/>
                <w:sz w:val="21"/>
                <w:szCs w:val="21"/>
              </w:rPr>
            </w:pPr>
            <w:r w:rsidRPr="00885935">
              <w:rPr>
                <w:b/>
                <w:bCs/>
                <w:sz w:val="21"/>
                <w:szCs w:val="21"/>
              </w:rPr>
              <w:t>Au plus tard en décembre 2024</w:t>
            </w:r>
          </w:p>
        </w:tc>
      </w:tr>
      <w:tr w:rsidR="00BF13A3" w:rsidRPr="00885935" w14:paraId="4071E92D" w14:textId="77777777" w:rsidTr="0090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pct"/>
          </w:tcPr>
          <w:p w14:paraId="7FA35BB1" w14:textId="77777777" w:rsidR="00BF13A3" w:rsidRPr="00885935" w:rsidRDefault="00BF13A3" w:rsidP="002B5E84">
            <w:pPr>
              <w:spacing w:before="120" w:after="120"/>
              <w:jc w:val="both"/>
              <w:rPr>
                <w:b w:val="0"/>
                <w:bCs w:val="0"/>
                <w:sz w:val="21"/>
                <w:szCs w:val="21"/>
              </w:rPr>
            </w:pPr>
            <w:r w:rsidRPr="00885935">
              <w:rPr>
                <w:rFonts w:ascii="Calibri" w:eastAsia="Times New Roman" w:hAnsi="Calibri" w:cs="Calibri"/>
                <w:b w:val="0"/>
                <w:bCs w:val="0"/>
                <w:sz w:val="21"/>
                <w:szCs w:val="21"/>
                <w:lang w:eastAsia="fr-FR"/>
              </w:rPr>
              <w:t>Il est important que les centres s’assurent que ces changements dans l’utilisation de fonds obtenus pour l’atteinte des ILD ci-dessus n’affecteront pas l’atteinte des autres ILD du projet et la réalisation des activités initialement prévues dans le plan de mis en œuvre initial du CEA Impact de chaque centre.</w:t>
            </w:r>
          </w:p>
        </w:tc>
        <w:tc>
          <w:tcPr>
            <w:tcW w:w="1459" w:type="pct"/>
          </w:tcPr>
          <w:p w14:paraId="39018445" w14:textId="77777777" w:rsidR="00BF13A3" w:rsidRPr="00885935" w:rsidRDefault="00BF13A3" w:rsidP="002B5E84">
            <w:p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L’UCAD s’engage à accompagner les CEA pour le respect des engagements, le développement et la pérennisation de leurs actions</w:t>
            </w:r>
          </w:p>
        </w:tc>
        <w:tc>
          <w:tcPr>
            <w:tcW w:w="1278" w:type="pct"/>
          </w:tcPr>
          <w:p w14:paraId="0A3C255C" w14:textId="77777777" w:rsidR="00BF13A3" w:rsidRPr="00885935" w:rsidRDefault="00BF13A3" w:rsidP="002B5E84">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885935">
              <w:rPr>
                <w:sz w:val="21"/>
                <w:szCs w:val="21"/>
              </w:rPr>
              <w:t xml:space="preserve">Accompagnement continue </w:t>
            </w:r>
          </w:p>
        </w:tc>
      </w:tr>
      <w:tr w:rsidR="00885935" w:rsidRPr="00885935" w14:paraId="31E972B8" w14:textId="77777777" w:rsidTr="00902787">
        <w:tc>
          <w:tcPr>
            <w:cnfStyle w:val="001000000000" w:firstRow="0" w:lastRow="0" w:firstColumn="1" w:lastColumn="0" w:oddVBand="0" w:evenVBand="0" w:oddHBand="0" w:evenHBand="0" w:firstRowFirstColumn="0" w:firstRowLastColumn="0" w:lastRowFirstColumn="0" w:lastRowLastColumn="0"/>
            <w:tcW w:w="2264" w:type="pct"/>
          </w:tcPr>
          <w:p w14:paraId="4FFF7482" w14:textId="63E2CD77" w:rsidR="00885935" w:rsidRPr="00885935" w:rsidRDefault="00885935" w:rsidP="002B5E84">
            <w:pPr>
              <w:spacing w:before="120" w:after="120"/>
              <w:jc w:val="both"/>
              <w:rPr>
                <w:rFonts w:ascii="Calibri" w:eastAsia="Times New Roman" w:hAnsi="Calibri" w:cs="Calibri"/>
                <w:sz w:val="21"/>
                <w:szCs w:val="21"/>
                <w:lang w:eastAsia="fr-FR"/>
              </w:rPr>
            </w:pPr>
          </w:p>
        </w:tc>
        <w:tc>
          <w:tcPr>
            <w:tcW w:w="1459" w:type="pct"/>
          </w:tcPr>
          <w:p w14:paraId="162571E0" w14:textId="77777777" w:rsidR="00885935" w:rsidRPr="00885935" w:rsidRDefault="00885935" w:rsidP="002B5E84">
            <w:pPr>
              <w:spacing w:before="120" w:after="120"/>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1278" w:type="pct"/>
          </w:tcPr>
          <w:p w14:paraId="358E5F44" w14:textId="77777777" w:rsidR="00885935" w:rsidRPr="00885935" w:rsidRDefault="00885935" w:rsidP="002B5E84">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p>
        </w:tc>
      </w:tr>
    </w:tbl>
    <w:p w14:paraId="688259E5" w14:textId="6C58D382" w:rsidR="00885935" w:rsidRDefault="00885935" w:rsidP="00BF13A3">
      <w:pPr>
        <w:jc w:val="both"/>
        <w:rPr>
          <w:rFonts w:ascii="Times New Roman" w:hAnsi="Times New Roman" w:cs="Times New Roman"/>
        </w:rPr>
      </w:pPr>
    </w:p>
    <w:p w14:paraId="26B71DDC" w14:textId="77777777" w:rsidR="00885935" w:rsidRPr="00BF13A3" w:rsidRDefault="00885935" w:rsidP="00BF13A3">
      <w:pPr>
        <w:jc w:val="both"/>
        <w:rPr>
          <w:rFonts w:ascii="Times New Roman" w:hAnsi="Times New Roman" w:cs="Times New Roman"/>
        </w:rPr>
      </w:pPr>
    </w:p>
    <w:sectPr w:rsidR="00885935" w:rsidRPr="00BF13A3" w:rsidSect="000939ED">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F58F" w14:textId="77777777" w:rsidR="00337FE3" w:rsidRDefault="00337FE3" w:rsidP="002B5E84">
      <w:r>
        <w:separator/>
      </w:r>
    </w:p>
  </w:endnote>
  <w:endnote w:type="continuationSeparator" w:id="0">
    <w:p w14:paraId="7B44EE44" w14:textId="77777777" w:rsidR="00337FE3" w:rsidRDefault="00337FE3" w:rsidP="002B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539849"/>
      <w:docPartObj>
        <w:docPartGallery w:val="Page Numbers (Bottom of Page)"/>
        <w:docPartUnique/>
      </w:docPartObj>
    </w:sdtPr>
    <w:sdtEndPr>
      <w:rPr>
        <w:color w:val="7F7F7F" w:themeColor="background1" w:themeShade="7F"/>
        <w:spacing w:val="60"/>
        <w:lang w:val="fr-FR"/>
      </w:rPr>
    </w:sdtEndPr>
    <w:sdtContent>
      <w:p w14:paraId="0D1E5544" w14:textId="1175185C" w:rsidR="008D7A30" w:rsidRDefault="008D7A30">
        <w:pPr>
          <w:pStyle w:val="Pieddepage"/>
          <w:pBdr>
            <w:top w:val="single" w:sz="4" w:space="1" w:color="D9D9D9" w:themeColor="background1" w:themeShade="D9"/>
          </w:pBdr>
          <w:jc w:val="right"/>
        </w:pPr>
        <w:r>
          <w:t xml:space="preserve">Page </w:t>
        </w:r>
        <w:r>
          <w:fldChar w:fldCharType="begin"/>
        </w:r>
        <w:r>
          <w:instrText>PAGE   \* MERGEFORMAT</w:instrText>
        </w:r>
        <w:r>
          <w:fldChar w:fldCharType="separate"/>
        </w:r>
        <w:r w:rsidR="0066021F" w:rsidRPr="0066021F">
          <w:rPr>
            <w:noProof/>
            <w:lang w:val="fr-FR"/>
          </w:rPr>
          <w:t>14</w:t>
        </w:r>
        <w:r>
          <w:fldChar w:fldCharType="end"/>
        </w:r>
        <w:r>
          <w:rPr>
            <w:lang w:val="fr-FR"/>
          </w:rPr>
          <w:t xml:space="preserve"> sur 36</w:t>
        </w:r>
      </w:p>
    </w:sdtContent>
  </w:sdt>
  <w:p w14:paraId="2A40BF16" w14:textId="456C622A" w:rsidR="008D7A30" w:rsidRDefault="00FC4A00">
    <w:pPr>
      <w:pStyle w:val="Pieddepage"/>
    </w:pPr>
    <w:r>
      <w:t xml:space="preserve">CEA-AGRISAN / Pan d’accélération de la mise en </w:t>
    </w:r>
    <w:proofErr w:type="spellStart"/>
    <w:r>
      <w:t>oeuvre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900227"/>
      <w:docPartObj>
        <w:docPartGallery w:val="Page Numbers (Bottom of Page)"/>
        <w:docPartUnique/>
      </w:docPartObj>
    </w:sdtPr>
    <w:sdtEndPr>
      <w:rPr>
        <w:color w:val="7F7F7F" w:themeColor="background1" w:themeShade="7F"/>
        <w:spacing w:val="60"/>
        <w:lang w:val="fr-FR"/>
      </w:rPr>
    </w:sdtEndPr>
    <w:sdtContent>
      <w:p w14:paraId="6CABC985" w14:textId="6ABAA4A0" w:rsidR="008D7A30" w:rsidRDefault="00FC4A00">
        <w:pPr>
          <w:pStyle w:val="Pieddepage"/>
          <w:pBdr>
            <w:top w:val="single" w:sz="4" w:space="1" w:color="D9D9D9" w:themeColor="background1" w:themeShade="D9"/>
          </w:pBdr>
          <w:jc w:val="right"/>
        </w:pPr>
        <w:r>
          <w:rPr>
            <w:color w:val="7F7F7F" w:themeColor="background1" w:themeShade="7F"/>
            <w:spacing w:val="60"/>
            <w:lang w:val="fr-FR"/>
          </w:rPr>
          <w:t>Page</w:t>
        </w:r>
        <w:r>
          <w:t xml:space="preserve"> </w:t>
        </w:r>
        <w:r w:rsidR="008D7A30">
          <w:fldChar w:fldCharType="begin"/>
        </w:r>
        <w:r w:rsidR="008D7A30">
          <w:instrText>PAGE   \* MERGEFORMAT</w:instrText>
        </w:r>
        <w:r w:rsidR="008D7A30">
          <w:fldChar w:fldCharType="separate"/>
        </w:r>
        <w:r w:rsidR="005B6A3C" w:rsidRPr="005B6A3C">
          <w:rPr>
            <w:noProof/>
            <w:lang w:val="fr-FR"/>
          </w:rPr>
          <w:t>27</w:t>
        </w:r>
        <w:r w:rsidR="008D7A30">
          <w:fldChar w:fldCharType="end"/>
        </w:r>
        <w:r w:rsidR="008D7A30">
          <w:rPr>
            <w:lang w:val="fr-FR"/>
          </w:rPr>
          <w:t xml:space="preserve"> | </w:t>
        </w:r>
        <w:r>
          <w:rPr>
            <w:lang w:val="fr-FR"/>
          </w:rPr>
          <w:t xml:space="preserve">35 </w:t>
        </w:r>
      </w:p>
    </w:sdtContent>
  </w:sdt>
  <w:p w14:paraId="395E2B31" w14:textId="77777777" w:rsidR="008D7A30" w:rsidRDefault="008D7A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5C24" w14:textId="77777777" w:rsidR="00337FE3" w:rsidRDefault="00337FE3" w:rsidP="002B5E84">
      <w:r>
        <w:separator/>
      </w:r>
    </w:p>
  </w:footnote>
  <w:footnote w:type="continuationSeparator" w:id="0">
    <w:p w14:paraId="775E8D0A" w14:textId="77777777" w:rsidR="00337FE3" w:rsidRDefault="00337FE3" w:rsidP="002B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1651C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575F81"/>
    <w:multiLevelType w:val="hybridMultilevel"/>
    <w:tmpl w:val="4C3C0A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766412"/>
    <w:multiLevelType w:val="hybridMultilevel"/>
    <w:tmpl w:val="E43C8858"/>
    <w:lvl w:ilvl="0" w:tplc="23D60A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C7603"/>
    <w:multiLevelType w:val="hybridMultilevel"/>
    <w:tmpl w:val="4C780320"/>
    <w:lvl w:ilvl="0" w:tplc="C596C36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3026B"/>
    <w:multiLevelType w:val="hybridMultilevel"/>
    <w:tmpl w:val="0D500DCE"/>
    <w:lvl w:ilvl="0" w:tplc="D82C9232">
      <w:start w:val="3"/>
      <w:numFmt w:val="bullet"/>
      <w:lvlText w:val="-"/>
      <w:lvlJc w:val="left"/>
      <w:pPr>
        <w:ind w:left="360" w:hanging="360"/>
      </w:pPr>
      <w:rPr>
        <w:rFonts w:ascii="Palatino Linotype" w:eastAsiaTheme="minorHAnsi"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A80113"/>
    <w:multiLevelType w:val="hybridMultilevel"/>
    <w:tmpl w:val="C0761772"/>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E4254E9"/>
    <w:multiLevelType w:val="hybridMultilevel"/>
    <w:tmpl w:val="5A90CD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FC21119"/>
    <w:multiLevelType w:val="hybridMultilevel"/>
    <w:tmpl w:val="5178FAC4"/>
    <w:lvl w:ilvl="0" w:tplc="C596C36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510E95"/>
    <w:multiLevelType w:val="hybridMultilevel"/>
    <w:tmpl w:val="3A0A1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6C02F9"/>
    <w:multiLevelType w:val="multilevel"/>
    <w:tmpl w:val="88FEFABE"/>
    <w:lvl w:ilvl="0">
      <w:start w:val="1"/>
      <w:numFmt w:val="upperRoman"/>
      <w:lvlText w:val="%1."/>
      <w:lvlJc w:val="left"/>
      <w:pPr>
        <w:ind w:left="-2259" w:hanging="720"/>
      </w:pPr>
      <w:rPr>
        <w:rFonts w:hint="default"/>
      </w:rPr>
    </w:lvl>
    <w:lvl w:ilvl="1">
      <w:start w:val="3"/>
      <w:numFmt w:val="decimal"/>
      <w:isLgl/>
      <w:lvlText w:val="%1.%2"/>
      <w:lvlJc w:val="left"/>
      <w:pPr>
        <w:ind w:left="-2619" w:hanging="360"/>
      </w:pPr>
      <w:rPr>
        <w:rFonts w:hint="default"/>
      </w:rPr>
    </w:lvl>
    <w:lvl w:ilvl="2">
      <w:start w:val="1"/>
      <w:numFmt w:val="decimal"/>
      <w:isLgl/>
      <w:lvlText w:val="%1.%2.%3"/>
      <w:lvlJc w:val="left"/>
      <w:pPr>
        <w:ind w:left="-2259"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259" w:hanging="720"/>
      </w:pPr>
      <w:rPr>
        <w:rFonts w:hint="default"/>
      </w:rPr>
    </w:lvl>
    <w:lvl w:ilvl="5">
      <w:start w:val="1"/>
      <w:numFmt w:val="decimal"/>
      <w:isLgl/>
      <w:lvlText w:val="%1.%2.%3.%4.%5.%6"/>
      <w:lvlJc w:val="left"/>
      <w:pPr>
        <w:ind w:left="-1899" w:hanging="1080"/>
      </w:pPr>
      <w:rPr>
        <w:rFonts w:hint="default"/>
      </w:rPr>
    </w:lvl>
    <w:lvl w:ilvl="6">
      <w:start w:val="1"/>
      <w:numFmt w:val="decimal"/>
      <w:isLgl/>
      <w:lvlText w:val="%1.%2.%3.%4.%5.%6.%7"/>
      <w:lvlJc w:val="left"/>
      <w:pPr>
        <w:ind w:left="-1899" w:hanging="1080"/>
      </w:pPr>
      <w:rPr>
        <w:rFonts w:hint="default"/>
      </w:rPr>
    </w:lvl>
    <w:lvl w:ilvl="7">
      <w:start w:val="1"/>
      <w:numFmt w:val="decimal"/>
      <w:isLgl/>
      <w:lvlText w:val="%1.%2.%3.%4.%5.%6.%7.%8"/>
      <w:lvlJc w:val="left"/>
      <w:pPr>
        <w:ind w:left="-1539" w:hanging="1440"/>
      </w:pPr>
      <w:rPr>
        <w:rFonts w:hint="default"/>
      </w:rPr>
    </w:lvl>
    <w:lvl w:ilvl="8">
      <w:start w:val="1"/>
      <w:numFmt w:val="decimal"/>
      <w:isLgl/>
      <w:lvlText w:val="%1.%2.%3.%4.%5.%6.%7.%8.%9"/>
      <w:lvlJc w:val="left"/>
      <w:pPr>
        <w:ind w:left="-1539" w:hanging="1440"/>
      </w:pPr>
      <w:rPr>
        <w:rFonts w:hint="default"/>
      </w:rPr>
    </w:lvl>
  </w:abstractNum>
  <w:abstractNum w:abstractNumId="10" w15:restartNumberingAfterBreak="0">
    <w:nsid w:val="6A5F0527"/>
    <w:multiLevelType w:val="hybridMultilevel"/>
    <w:tmpl w:val="1FB00552"/>
    <w:lvl w:ilvl="0" w:tplc="C596C36C">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330500C"/>
    <w:multiLevelType w:val="multilevel"/>
    <w:tmpl w:val="4C4A3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7942460">
    <w:abstractNumId w:val="6"/>
  </w:num>
  <w:num w:numId="2" w16cid:durableId="75706958">
    <w:abstractNumId w:val="0"/>
  </w:num>
  <w:num w:numId="3" w16cid:durableId="1021590508">
    <w:abstractNumId w:val="11"/>
  </w:num>
  <w:num w:numId="4" w16cid:durableId="635183291">
    <w:abstractNumId w:val="8"/>
  </w:num>
  <w:num w:numId="5" w16cid:durableId="1321273563">
    <w:abstractNumId w:val="10"/>
  </w:num>
  <w:num w:numId="6" w16cid:durableId="1792243912">
    <w:abstractNumId w:val="9"/>
  </w:num>
  <w:num w:numId="7" w16cid:durableId="423647869">
    <w:abstractNumId w:val="4"/>
  </w:num>
  <w:num w:numId="8" w16cid:durableId="280235787">
    <w:abstractNumId w:val="2"/>
  </w:num>
  <w:num w:numId="9" w16cid:durableId="1945265400">
    <w:abstractNumId w:val="7"/>
  </w:num>
  <w:num w:numId="10" w16cid:durableId="112091486">
    <w:abstractNumId w:val="5"/>
  </w:num>
  <w:num w:numId="11" w16cid:durableId="1414811811">
    <w:abstractNumId w:val="1"/>
  </w:num>
  <w:num w:numId="12" w16cid:durableId="1299459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D4"/>
    <w:rsid w:val="00003001"/>
    <w:rsid w:val="00007DB4"/>
    <w:rsid w:val="00011A27"/>
    <w:rsid w:val="00011D32"/>
    <w:rsid w:val="00014E6C"/>
    <w:rsid w:val="00015E1F"/>
    <w:rsid w:val="00022567"/>
    <w:rsid w:val="00023EF6"/>
    <w:rsid w:val="00024014"/>
    <w:rsid w:val="00024D90"/>
    <w:rsid w:val="0003115F"/>
    <w:rsid w:val="000449EB"/>
    <w:rsid w:val="00044BD6"/>
    <w:rsid w:val="000524F7"/>
    <w:rsid w:val="000532F2"/>
    <w:rsid w:val="0005598A"/>
    <w:rsid w:val="00066511"/>
    <w:rsid w:val="000711E4"/>
    <w:rsid w:val="00071E02"/>
    <w:rsid w:val="00072D63"/>
    <w:rsid w:val="000732C9"/>
    <w:rsid w:val="000823D6"/>
    <w:rsid w:val="00086935"/>
    <w:rsid w:val="000939ED"/>
    <w:rsid w:val="00095B7F"/>
    <w:rsid w:val="000A0522"/>
    <w:rsid w:val="000A3553"/>
    <w:rsid w:val="000B281F"/>
    <w:rsid w:val="000B332B"/>
    <w:rsid w:val="000B597A"/>
    <w:rsid w:val="000C4A8F"/>
    <w:rsid w:val="000D0A72"/>
    <w:rsid w:val="000D5BB3"/>
    <w:rsid w:val="000E0051"/>
    <w:rsid w:val="000F5E21"/>
    <w:rsid w:val="00102B80"/>
    <w:rsid w:val="001056C9"/>
    <w:rsid w:val="00106525"/>
    <w:rsid w:val="00107010"/>
    <w:rsid w:val="001147BF"/>
    <w:rsid w:val="001206FA"/>
    <w:rsid w:val="001420F1"/>
    <w:rsid w:val="001441DB"/>
    <w:rsid w:val="00160F76"/>
    <w:rsid w:val="00162B83"/>
    <w:rsid w:val="001648A0"/>
    <w:rsid w:val="0016791E"/>
    <w:rsid w:val="0017229E"/>
    <w:rsid w:val="001726E0"/>
    <w:rsid w:val="00172739"/>
    <w:rsid w:val="0017620A"/>
    <w:rsid w:val="0019339F"/>
    <w:rsid w:val="00195887"/>
    <w:rsid w:val="001C4374"/>
    <w:rsid w:val="001C616D"/>
    <w:rsid w:val="001D1AD5"/>
    <w:rsid w:val="001E4A44"/>
    <w:rsid w:val="00200FF0"/>
    <w:rsid w:val="00245F79"/>
    <w:rsid w:val="0025794F"/>
    <w:rsid w:val="0026645D"/>
    <w:rsid w:val="0027180F"/>
    <w:rsid w:val="00276CD3"/>
    <w:rsid w:val="00290F4A"/>
    <w:rsid w:val="00292657"/>
    <w:rsid w:val="002944B2"/>
    <w:rsid w:val="002A1EC1"/>
    <w:rsid w:val="002A262E"/>
    <w:rsid w:val="002A6458"/>
    <w:rsid w:val="002B2516"/>
    <w:rsid w:val="002B5E84"/>
    <w:rsid w:val="002C4518"/>
    <w:rsid w:val="002C72B5"/>
    <w:rsid w:val="002D0FF0"/>
    <w:rsid w:val="002D28F2"/>
    <w:rsid w:val="002D7F3E"/>
    <w:rsid w:val="002F5F8C"/>
    <w:rsid w:val="00305B42"/>
    <w:rsid w:val="003368BB"/>
    <w:rsid w:val="00337FE3"/>
    <w:rsid w:val="00351F22"/>
    <w:rsid w:val="00355D9D"/>
    <w:rsid w:val="00362AD3"/>
    <w:rsid w:val="003702D5"/>
    <w:rsid w:val="00372E63"/>
    <w:rsid w:val="00377C32"/>
    <w:rsid w:val="00397C4A"/>
    <w:rsid w:val="003D7FC9"/>
    <w:rsid w:val="003E01D2"/>
    <w:rsid w:val="003F4B70"/>
    <w:rsid w:val="003F7D46"/>
    <w:rsid w:val="00404D03"/>
    <w:rsid w:val="00407E3D"/>
    <w:rsid w:val="00417774"/>
    <w:rsid w:val="00427DCF"/>
    <w:rsid w:val="004374BD"/>
    <w:rsid w:val="00440E7D"/>
    <w:rsid w:val="00444CB7"/>
    <w:rsid w:val="0044604F"/>
    <w:rsid w:val="0045338C"/>
    <w:rsid w:val="0045684D"/>
    <w:rsid w:val="0046395B"/>
    <w:rsid w:val="0046470A"/>
    <w:rsid w:val="004665EB"/>
    <w:rsid w:val="00473637"/>
    <w:rsid w:val="00490F0A"/>
    <w:rsid w:val="0049214B"/>
    <w:rsid w:val="00493B25"/>
    <w:rsid w:val="004A1319"/>
    <w:rsid w:val="004A28A5"/>
    <w:rsid w:val="004A48F0"/>
    <w:rsid w:val="004B7F8A"/>
    <w:rsid w:val="004C6B13"/>
    <w:rsid w:val="004C7E2D"/>
    <w:rsid w:val="004D4611"/>
    <w:rsid w:val="004D7895"/>
    <w:rsid w:val="004E7AD4"/>
    <w:rsid w:val="00503240"/>
    <w:rsid w:val="00504101"/>
    <w:rsid w:val="00507251"/>
    <w:rsid w:val="00523C92"/>
    <w:rsid w:val="00537FB3"/>
    <w:rsid w:val="00542B1D"/>
    <w:rsid w:val="0054520A"/>
    <w:rsid w:val="00547FCA"/>
    <w:rsid w:val="00553BD4"/>
    <w:rsid w:val="00556896"/>
    <w:rsid w:val="0056091A"/>
    <w:rsid w:val="00571B61"/>
    <w:rsid w:val="00572175"/>
    <w:rsid w:val="005732FB"/>
    <w:rsid w:val="0057330A"/>
    <w:rsid w:val="0058320C"/>
    <w:rsid w:val="00592709"/>
    <w:rsid w:val="005A34F1"/>
    <w:rsid w:val="005B4DE7"/>
    <w:rsid w:val="005B6A3C"/>
    <w:rsid w:val="005B724B"/>
    <w:rsid w:val="005C606E"/>
    <w:rsid w:val="005C6C09"/>
    <w:rsid w:val="005D7D74"/>
    <w:rsid w:val="005E52E8"/>
    <w:rsid w:val="005F5F6E"/>
    <w:rsid w:val="0060367B"/>
    <w:rsid w:val="00616751"/>
    <w:rsid w:val="00617C2F"/>
    <w:rsid w:val="00617F52"/>
    <w:rsid w:val="0062142A"/>
    <w:rsid w:val="00625ECE"/>
    <w:rsid w:val="0063361B"/>
    <w:rsid w:val="00634A40"/>
    <w:rsid w:val="00642894"/>
    <w:rsid w:val="0066021F"/>
    <w:rsid w:val="00664C25"/>
    <w:rsid w:val="00684A3B"/>
    <w:rsid w:val="00686D9E"/>
    <w:rsid w:val="00687BEC"/>
    <w:rsid w:val="00690A76"/>
    <w:rsid w:val="0069343C"/>
    <w:rsid w:val="00696EA7"/>
    <w:rsid w:val="006B29D4"/>
    <w:rsid w:val="006C07E2"/>
    <w:rsid w:val="006C51EF"/>
    <w:rsid w:val="006C5875"/>
    <w:rsid w:val="006D5FD1"/>
    <w:rsid w:val="006D685F"/>
    <w:rsid w:val="006E20D3"/>
    <w:rsid w:val="006E4EFE"/>
    <w:rsid w:val="0070178C"/>
    <w:rsid w:val="00713C33"/>
    <w:rsid w:val="00715A15"/>
    <w:rsid w:val="00722C3A"/>
    <w:rsid w:val="00723A85"/>
    <w:rsid w:val="00723F23"/>
    <w:rsid w:val="00725C00"/>
    <w:rsid w:val="0073068D"/>
    <w:rsid w:val="007341C6"/>
    <w:rsid w:val="00736AED"/>
    <w:rsid w:val="007411E2"/>
    <w:rsid w:val="0076766B"/>
    <w:rsid w:val="007704BB"/>
    <w:rsid w:val="00771D3F"/>
    <w:rsid w:val="007730A4"/>
    <w:rsid w:val="00781811"/>
    <w:rsid w:val="00781B55"/>
    <w:rsid w:val="00782C5B"/>
    <w:rsid w:val="00783881"/>
    <w:rsid w:val="007A76C8"/>
    <w:rsid w:val="007C45B2"/>
    <w:rsid w:val="007C5988"/>
    <w:rsid w:val="007D0921"/>
    <w:rsid w:val="007D64E1"/>
    <w:rsid w:val="007D67CA"/>
    <w:rsid w:val="007D740D"/>
    <w:rsid w:val="007F0D54"/>
    <w:rsid w:val="008002FF"/>
    <w:rsid w:val="00807D1A"/>
    <w:rsid w:val="00811C50"/>
    <w:rsid w:val="0082033E"/>
    <w:rsid w:val="00825C13"/>
    <w:rsid w:val="00833581"/>
    <w:rsid w:val="00833E36"/>
    <w:rsid w:val="00837A0C"/>
    <w:rsid w:val="00855133"/>
    <w:rsid w:val="008573E0"/>
    <w:rsid w:val="00857B8C"/>
    <w:rsid w:val="00857BC7"/>
    <w:rsid w:val="008817C8"/>
    <w:rsid w:val="008831C8"/>
    <w:rsid w:val="00885935"/>
    <w:rsid w:val="00891CA3"/>
    <w:rsid w:val="008B152E"/>
    <w:rsid w:val="008C4B6E"/>
    <w:rsid w:val="008D72C9"/>
    <w:rsid w:val="008D7A30"/>
    <w:rsid w:val="008E2F48"/>
    <w:rsid w:val="008E37B2"/>
    <w:rsid w:val="00902787"/>
    <w:rsid w:val="00903221"/>
    <w:rsid w:val="00905AAA"/>
    <w:rsid w:val="00907239"/>
    <w:rsid w:val="00915893"/>
    <w:rsid w:val="00920D0D"/>
    <w:rsid w:val="00930FE4"/>
    <w:rsid w:val="00936F45"/>
    <w:rsid w:val="00942CF3"/>
    <w:rsid w:val="00951195"/>
    <w:rsid w:val="00954375"/>
    <w:rsid w:val="0096056E"/>
    <w:rsid w:val="009608A1"/>
    <w:rsid w:val="00964C1B"/>
    <w:rsid w:val="009666DB"/>
    <w:rsid w:val="00967B1D"/>
    <w:rsid w:val="00974A64"/>
    <w:rsid w:val="009806F4"/>
    <w:rsid w:val="00980F4F"/>
    <w:rsid w:val="009855DC"/>
    <w:rsid w:val="00992C0E"/>
    <w:rsid w:val="00994E23"/>
    <w:rsid w:val="009A082E"/>
    <w:rsid w:val="009B0B44"/>
    <w:rsid w:val="009B41FE"/>
    <w:rsid w:val="009B6CAF"/>
    <w:rsid w:val="009C7E30"/>
    <w:rsid w:val="009D11E8"/>
    <w:rsid w:val="009E3742"/>
    <w:rsid w:val="009E7E18"/>
    <w:rsid w:val="009F0D35"/>
    <w:rsid w:val="009F53D0"/>
    <w:rsid w:val="009F6C38"/>
    <w:rsid w:val="009F707E"/>
    <w:rsid w:val="00A014CF"/>
    <w:rsid w:val="00A01E4B"/>
    <w:rsid w:val="00A11338"/>
    <w:rsid w:val="00A21C9E"/>
    <w:rsid w:val="00A2524B"/>
    <w:rsid w:val="00A2676B"/>
    <w:rsid w:val="00A26BD3"/>
    <w:rsid w:val="00A33868"/>
    <w:rsid w:val="00A34862"/>
    <w:rsid w:val="00A44588"/>
    <w:rsid w:val="00A46ADE"/>
    <w:rsid w:val="00A47293"/>
    <w:rsid w:val="00A548E0"/>
    <w:rsid w:val="00A5563B"/>
    <w:rsid w:val="00A5630C"/>
    <w:rsid w:val="00A63E24"/>
    <w:rsid w:val="00A65F41"/>
    <w:rsid w:val="00A7701E"/>
    <w:rsid w:val="00A82BCF"/>
    <w:rsid w:val="00A85378"/>
    <w:rsid w:val="00A900BA"/>
    <w:rsid w:val="00A91A5B"/>
    <w:rsid w:val="00A97426"/>
    <w:rsid w:val="00AB2870"/>
    <w:rsid w:val="00AB3454"/>
    <w:rsid w:val="00AE3EE6"/>
    <w:rsid w:val="00AE789F"/>
    <w:rsid w:val="00AF7097"/>
    <w:rsid w:val="00B00643"/>
    <w:rsid w:val="00B01ADB"/>
    <w:rsid w:val="00B12D60"/>
    <w:rsid w:val="00B12EF9"/>
    <w:rsid w:val="00B14379"/>
    <w:rsid w:val="00B245E1"/>
    <w:rsid w:val="00B30566"/>
    <w:rsid w:val="00B312DB"/>
    <w:rsid w:val="00B432C8"/>
    <w:rsid w:val="00B44291"/>
    <w:rsid w:val="00B6457D"/>
    <w:rsid w:val="00B6537E"/>
    <w:rsid w:val="00B81FFE"/>
    <w:rsid w:val="00B875A7"/>
    <w:rsid w:val="00BB60B3"/>
    <w:rsid w:val="00BC32E4"/>
    <w:rsid w:val="00BC5A70"/>
    <w:rsid w:val="00BE13B9"/>
    <w:rsid w:val="00BE173A"/>
    <w:rsid w:val="00BE3ED2"/>
    <w:rsid w:val="00BF13A3"/>
    <w:rsid w:val="00BF3211"/>
    <w:rsid w:val="00BF408F"/>
    <w:rsid w:val="00C04015"/>
    <w:rsid w:val="00C04724"/>
    <w:rsid w:val="00C1284C"/>
    <w:rsid w:val="00C26B00"/>
    <w:rsid w:val="00C42E75"/>
    <w:rsid w:val="00C820A5"/>
    <w:rsid w:val="00C8476F"/>
    <w:rsid w:val="00CA3E6E"/>
    <w:rsid w:val="00CB152C"/>
    <w:rsid w:val="00CC429F"/>
    <w:rsid w:val="00CC6BE8"/>
    <w:rsid w:val="00CE1A6D"/>
    <w:rsid w:val="00CE4CF0"/>
    <w:rsid w:val="00CF00CF"/>
    <w:rsid w:val="00D01C98"/>
    <w:rsid w:val="00D150D5"/>
    <w:rsid w:val="00D174F6"/>
    <w:rsid w:val="00D30550"/>
    <w:rsid w:val="00D32AE1"/>
    <w:rsid w:val="00D37A20"/>
    <w:rsid w:val="00D55681"/>
    <w:rsid w:val="00D5784D"/>
    <w:rsid w:val="00D630EB"/>
    <w:rsid w:val="00D67957"/>
    <w:rsid w:val="00D67D7C"/>
    <w:rsid w:val="00D82152"/>
    <w:rsid w:val="00D83A8C"/>
    <w:rsid w:val="00D84309"/>
    <w:rsid w:val="00D946D0"/>
    <w:rsid w:val="00DA1C39"/>
    <w:rsid w:val="00DA7C9C"/>
    <w:rsid w:val="00DB0C16"/>
    <w:rsid w:val="00DB6331"/>
    <w:rsid w:val="00DE3A94"/>
    <w:rsid w:val="00DF24B3"/>
    <w:rsid w:val="00DF513D"/>
    <w:rsid w:val="00E02D65"/>
    <w:rsid w:val="00E10B24"/>
    <w:rsid w:val="00E1705A"/>
    <w:rsid w:val="00E1761E"/>
    <w:rsid w:val="00E23119"/>
    <w:rsid w:val="00E24574"/>
    <w:rsid w:val="00E3318C"/>
    <w:rsid w:val="00E342F7"/>
    <w:rsid w:val="00E62A21"/>
    <w:rsid w:val="00E86F54"/>
    <w:rsid w:val="00E92E61"/>
    <w:rsid w:val="00E93A16"/>
    <w:rsid w:val="00E95481"/>
    <w:rsid w:val="00EB2456"/>
    <w:rsid w:val="00ED22F9"/>
    <w:rsid w:val="00EE0E6E"/>
    <w:rsid w:val="00EE2F52"/>
    <w:rsid w:val="00EE6392"/>
    <w:rsid w:val="00EF099B"/>
    <w:rsid w:val="00F01B71"/>
    <w:rsid w:val="00F022AD"/>
    <w:rsid w:val="00F11A20"/>
    <w:rsid w:val="00F12340"/>
    <w:rsid w:val="00F14FDC"/>
    <w:rsid w:val="00F2464F"/>
    <w:rsid w:val="00F252A8"/>
    <w:rsid w:val="00F37B89"/>
    <w:rsid w:val="00F52006"/>
    <w:rsid w:val="00F52051"/>
    <w:rsid w:val="00F52C71"/>
    <w:rsid w:val="00F606AE"/>
    <w:rsid w:val="00F63610"/>
    <w:rsid w:val="00F640BA"/>
    <w:rsid w:val="00F706CB"/>
    <w:rsid w:val="00F739F6"/>
    <w:rsid w:val="00FA223C"/>
    <w:rsid w:val="00FA2C3A"/>
    <w:rsid w:val="00FA5E85"/>
    <w:rsid w:val="00FB438F"/>
    <w:rsid w:val="00FB6C92"/>
    <w:rsid w:val="00FC4A00"/>
    <w:rsid w:val="00FE012B"/>
    <w:rsid w:val="00FE026A"/>
    <w:rsid w:val="00FE6653"/>
    <w:rsid w:val="00FF39FF"/>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7189"/>
  <w15:chartTrackingRefBased/>
  <w15:docId w15:val="{80C077D6-4124-F84E-9845-2EF51B89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07D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006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0064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List Paragraph1,Bullets"/>
    <w:basedOn w:val="Normal"/>
    <w:link w:val="ParagraphedelisteCar"/>
    <w:uiPriority w:val="34"/>
    <w:qFormat/>
    <w:rsid w:val="00102B80"/>
    <w:pPr>
      <w:ind w:left="720"/>
      <w:contextualSpacing/>
    </w:pPr>
  </w:style>
  <w:style w:type="paragraph" w:styleId="Rvision">
    <w:name w:val="Revision"/>
    <w:hidden/>
    <w:uiPriority w:val="99"/>
    <w:semiHidden/>
    <w:rsid w:val="00857BC7"/>
  </w:style>
  <w:style w:type="paragraph" w:styleId="Textedebulles">
    <w:name w:val="Balloon Text"/>
    <w:basedOn w:val="Normal"/>
    <w:link w:val="TextedebullesCar"/>
    <w:uiPriority w:val="99"/>
    <w:semiHidden/>
    <w:unhideWhenUsed/>
    <w:rsid w:val="00617C2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17C2F"/>
    <w:rPr>
      <w:rFonts w:ascii="Times New Roman" w:hAnsi="Times New Roman" w:cs="Times New Roman"/>
      <w:sz w:val="18"/>
      <w:szCs w:val="18"/>
    </w:rPr>
  </w:style>
  <w:style w:type="paragraph" w:styleId="Sansinterligne">
    <w:name w:val="No Spacing"/>
    <w:link w:val="SansinterligneCar"/>
    <w:uiPriority w:val="1"/>
    <w:qFormat/>
    <w:rsid w:val="00D946D0"/>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D946D0"/>
    <w:rPr>
      <w:rFonts w:eastAsiaTheme="minorEastAsia"/>
      <w:sz w:val="22"/>
      <w:szCs w:val="22"/>
      <w:lang w:val="en-US" w:eastAsia="zh-CN"/>
    </w:rPr>
  </w:style>
  <w:style w:type="character" w:customStyle="1" w:styleId="ParagraphedelisteCar">
    <w:name w:val="Paragraphe de liste Car"/>
    <w:aliases w:val="Liste 1 Car,List Paragraph1 Car,Bullets Car"/>
    <w:link w:val="Paragraphedeliste"/>
    <w:uiPriority w:val="34"/>
    <w:locked/>
    <w:rsid w:val="00BF13A3"/>
  </w:style>
  <w:style w:type="paragraph" w:styleId="Listepuces">
    <w:name w:val="List Bullet"/>
    <w:basedOn w:val="Normal"/>
    <w:uiPriority w:val="99"/>
    <w:unhideWhenUsed/>
    <w:rsid w:val="00BF13A3"/>
    <w:pPr>
      <w:numPr>
        <w:numId w:val="2"/>
      </w:numPr>
      <w:spacing w:after="160" w:line="259" w:lineRule="auto"/>
      <w:contextualSpacing/>
    </w:pPr>
    <w:rPr>
      <w:sz w:val="22"/>
      <w:szCs w:val="22"/>
      <w:lang w:val="fr-FR"/>
    </w:rPr>
  </w:style>
  <w:style w:type="table" w:styleId="TableauGrille4-Accentuation1">
    <w:name w:val="Grid Table 4 Accent 1"/>
    <w:basedOn w:val="TableauNormal"/>
    <w:uiPriority w:val="49"/>
    <w:rsid w:val="00BF13A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9F0D35"/>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007DB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2B5E84"/>
    <w:pPr>
      <w:tabs>
        <w:tab w:val="center" w:pos="4513"/>
        <w:tab w:val="right" w:pos="9026"/>
      </w:tabs>
    </w:pPr>
  </w:style>
  <w:style w:type="character" w:customStyle="1" w:styleId="En-tteCar">
    <w:name w:val="En-tête Car"/>
    <w:basedOn w:val="Policepardfaut"/>
    <w:link w:val="En-tte"/>
    <w:uiPriority w:val="99"/>
    <w:rsid w:val="002B5E84"/>
  </w:style>
  <w:style w:type="paragraph" w:styleId="Pieddepage">
    <w:name w:val="footer"/>
    <w:basedOn w:val="Normal"/>
    <w:link w:val="PieddepageCar"/>
    <w:uiPriority w:val="99"/>
    <w:unhideWhenUsed/>
    <w:rsid w:val="002B5E84"/>
    <w:pPr>
      <w:tabs>
        <w:tab w:val="center" w:pos="4513"/>
        <w:tab w:val="right" w:pos="9026"/>
      </w:tabs>
    </w:pPr>
  </w:style>
  <w:style w:type="character" w:customStyle="1" w:styleId="PieddepageCar">
    <w:name w:val="Pied de page Car"/>
    <w:basedOn w:val="Policepardfaut"/>
    <w:link w:val="Pieddepage"/>
    <w:uiPriority w:val="99"/>
    <w:rsid w:val="002B5E84"/>
  </w:style>
  <w:style w:type="paragraph" w:styleId="Titre">
    <w:name w:val="Title"/>
    <w:basedOn w:val="Normal"/>
    <w:next w:val="Normal"/>
    <w:link w:val="TitreCar"/>
    <w:uiPriority w:val="10"/>
    <w:qFormat/>
    <w:rsid w:val="00B0064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00643"/>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B0064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00643"/>
    <w:rPr>
      <w:rFonts w:asciiTheme="majorHAnsi" w:eastAsiaTheme="majorEastAsia" w:hAnsiTheme="majorHAnsi" w:cstheme="majorBidi"/>
      <w:color w:val="1F3763" w:themeColor="accent1" w:themeShade="7F"/>
    </w:rPr>
  </w:style>
  <w:style w:type="paragraph" w:styleId="TM1">
    <w:name w:val="toc 1"/>
    <w:basedOn w:val="Normal"/>
    <w:next w:val="Normal"/>
    <w:autoRedefine/>
    <w:uiPriority w:val="39"/>
    <w:unhideWhenUsed/>
    <w:rsid w:val="0076766B"/>
    <w:pPr>
      <w:spacing w:before="120"/>
    </w:pPr>
    <w:rPr>
      <w:rFonts w:cstheme="minorHAnsi"/>
      <w:b/>
      <w:bCs/>
      <w:i/>
      <w:iCs/>
    </w:rPr>
  </w:style>
  <w:style w:type="paragraph" w:styleId="TM2">
    <w:name w:val="toc 2"/>
    <w:basedOn w:val="Normal"/>
    <w:next w:val="Normal"/>
    <w:autoRedefine/>
    <w:uiPriority w:val="39"/>
    <w:unhideWhenUsed/>
    <w:rsid w:val="0076766B"/>
    <w:pPr>
      <w:spacing w:before="120"/>
      <w:ind w:left="240"/>
    </w:pPr>
    <w:rPr>
      <w:rFonts w:cstheme="minorHAnsi"/>
      <w:b/>
      <w:bCs/>
      <w:sz w:val="22"/>
      <w:szCs w:val="22"/>
    </w:rPr>
  </w:style>
  <w:style w:type="paragraph" w:styleId="TM3">
    <w:name w:val="toc 3"/>
    <w:basedOn w:val="Normal"/>
    <w:next w:val="Normal"/>
    <w:autoRedefine/>
    <w:uiPriority w:val="39"/>
    <w:unhideWhenUsed/>
    <w:rsid w:val="0076766B"/>
    <w:pPr>
      <w:ind w:left="480"/>
    </w:pPr>
    <w:rPr>
      <w:rFonts w:cstheme="minorHAnsi"/>
      <w:sz w:val="20"/>
      <w:szCs w:val="20"/>
    </w:rPr>
  </w:style>
  <w:style w:type="paragraph" w:styleId="TM4">
    <w:name w:val="toc 4"/>
    <w:basedOn w:val="Normal"/>
    <w:next w:val="Normal"/>
    <w:autoRedefine/>
    <w:uiPriority w:val="39"/>
    <w:unhideWhenUsed/>
    <w:rsid w:val="0076766B"/>
    <w:pPr>
      <w:ind w:left="720"/>
    </w:pPr>
    <w:rPr>
      <w:rFonts w:cstheme="minorHAnsi"/>
      <w:sz w:val="20"/>
      <w:szCs w:val="20"/>
    </w:rPr>
  </w:style>
  <w:style w:type="paragraph" w:styleId="TM5">
    <w:name w:val="toc 5"/>
    <w:basedOn w:val="Normal"/>
    <w:next w:val="Normal"/>
    <w:autoRedefine/>
    <w:uiPriority w:val="39"/>
    <w:unhideWhenUsed/>
    <w:rsid w:val="0076766B"/>
    <w:pPr>
      <w:ind w:left="960"/>
    </w:pPr>
    <w:rPr>
      <w:rFonts w:cstheme="minorHAnsi"/>
      <w:sz w:val="20"/>
      <w:szCs w:val="20"/>
    </w:rPr>
  </w:style>
  <w:style w:type="paragraph" w:styleId="TM6">
    <w:name w:val="toc 6"/>
    <w:basedOn w:val="Normal"/>
    <w:next w:val="Normal"/>
    <w:autoRedefine/>
    <w:uiPriority w:val="39"/>
    <w:unhideWhenUsed/>
    <w:rsid w:val="0076766B"/>
    <w:pPr>
      <w:ind w:left="1200"/>
    </w:pPr>
    <w:rPr>
      <w:rFonts w:cstheme="minorHAnsi"/>
      <w:sz w:val="20"/>
      <w:szCs w:val="20"/>
    </w:rPr>
  </w:style>
  <w:style w:type="paragraph" w:styleId="TM7">
    <w:name w:val="toc 7"/>
    <w:basedOn w:val="Normal"/>
    <w:next w:val="Normal"/>
    <w:autoRedefine/>
    <w:uiPriority w:val="39"/>
    <w:unhideWhenUsed/>
    <w:rsid w:val="0076766B"/>
    <w:pPr>
      <w:ind w:left="1440"/>
    </w:pPr>
    <w:rPr>
      <w:rFonts w:cstheme="minorHAnsi"/>
      <w:sz w:val="20"/>
      <w:szCs w:val="20"/>
    </w:rPr>
  </w:style>
  <w:style w:type="paragraph" w:styleId="TM8">
    <w:name w:val="toc 8"/>
    <w:basedOn w:val="Normal"/>
    <w:next w:val="Normal"/>
    <w:autoRedefine/>
    <w:uiPriority w:val="39"/>
    <w:unhideWhenUsed/>
    <w:rsid w:val="0076766B"/>
    <w:pPr>
      <w:ind w:left="1680"/>
    </w:pPr>
    <w:rPr>
      <w:rFonts w:cstheme="minorHAnsi"/>
      <w:sz w:val="20"/>
      <w:szCs w:val="20"/>
    </w:rPr>
  </w:style>
  <w:style w:type="paragraph" w:styleId="TM9">
    <w:name w:val="toc 9"/>
    <w:basedOn w:val="Normal"/>
    <w:next w:val="Normal"/>
    <w:autoRedefine/>
    <w:uiPriority w:val="39"/>
    <w:unhideWhenUsed/>
    <w:rsid w:val="0076766B"/>
    <w:pPr>
      <w:ind w:left="1920"/>
    </w:pPr>
    <w:rPr>
      <w:rFonts w:cstheme="minorHAnsi"/>
      <w:sz w:val="20"/>
      <w:szCs w:val="20"/>
    </w:rPr>
  </w:style>
  <w:style w:type="character" w:styleId="Lienhypertexte">
    <w:name w:val="Hyperlink"/>
    <w:basedOn w:val="Policepardfaut"/>
    <w:uiPriority w:val="99"/>
    <w:unhideWhenUsed/>
    <w:rsid w:val="0076766B"/>
    <w:rPr>
      <w:color w:val="0563C1" w:themeColor="hyperlink"/>
      <w:u w:val="single"/>
    </w:rPr>
  </w:style>
  <w:style w:type="character" w:styleId="Marquedecommentaire">
    <w:name w:val="annotation reference"/>
    <w:basedOn w:val="Policepardfaut"/>
    <w:uiPriority w:val="99"/>
    <w:semiHidden/>
    <w:unhideWhenUsed/>
    <w:rsid w:val="00DB0C16"/>
    <w:rPr>
      <w:sz w:val="16"/>
      <w:szCs w:val="16"/>
    </w:rPr>
  </w:style>
  <w:style w:type="paragraph" w:styleId="Commentaire">
    <w:name w:val="annotation text"/>
    <w:basedOn w:val="Normal"/>
    <w:link w:val="CommentaireCar"/>
    <w:uiPriority w:val="99"/>
    <w:semiHidden/>
    <w:unhideWhenUsed/>
    <w:rsid w:val="00DB0C16"/>
    <w:rPr>
      <w:sz w:val="20"/>
      <w:szCs w:val="20"/>
    </w:rPr>
  </w:style>
  <w:style w:type="character" w:customStyle="1" w:styleId="CommentaireCar">
    <w:name w:val="Commentaire Car"/>
    <w:basedOn w:val="Policepardfaut"/>
    <w:link w:val="Commentaire"/>
    <w:uiPriority w:val="99"/>
    <w:semiHidden/>
    <w:rsid w:val="00DB0C16"/>
    <w:rPr>
      <w:sz w:val="20"/>
      <w:szCs w:val="20"/>
    </w:rPr>
  </w:style>
  <w:style w:type="paragraph" w:styleId="Objetducommentaire">
    <w:name w:val="annotation subject"/>
    <w:basedOn w:val="Commentaire"/>
    <w:next w:val="Commentaire"/>
    <w:link w:val="ObjetducommentaireCar"/>
    <w:uiPriority w:val="99"/>
    <w:semiHidden/>
    <w:unhideWhenUsed/>
    <w:rsid w:val="00DB0C16"/>
    <w:rPr>
      <w:b/>
      <w:bCs/>
    </w:rPr>
  </w:style>
  <w:style w:type="character" w:customStyle="1" w:styleId="ObjetducommentaireCar">
    <w:name w:val="Objet du commentaire Car"/>
    <w:basedOn w:val="CommentaireCar"/>
    <w:link w:val="Objetducommentaire"/>
    <w:uiPriority w:val="99"/>
    <w:semiHidden/>
    <w:rsid w:val="00DB0C16"/>
    <w:rPr>
      <w:b/>
      <w:bCs/>
      <w:sz w:val="20"/>
      <w:szCs w:val="20"/>
    </w:rPr>
  </w:style>
  <w:style w:type="paragraph" w:styleId="En-ttedetabledesmatires">
    <w:name w:val="TOC Heading"/>
    <w:basedOn w:val="Titre1"/>
    <w:next w:val="Normal"/>
    <w:uiPriority w:val="39"/>
    <w:unhideWhenUsed/>
    <w:qFormat/>
    <w:rsid w:val="00A46ADE"/>
    <w:pPr>
      <w:spacing w:before="480" w:line="276" w:lineRule="auto"/>
      <w:outlineLvl w:val="9"/>
    </w:pPr>
    <w:rPr>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0161">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142427240">
      <w:bodyDiv w:val="1"/>
      <w:marLeft w:val="0"/>
      <w:marRight w:val="0"/>
      <w:marTop w:val="0"/>
      <w:marBottom w:val="0"/>
      <w:divBdr>
        <w:top w:val="none" w:sz="0" w:space="0" w:color="auto"/>
        <w:left w:val="none" w:sz="0" w:space="0" w:color="auto"/>
        <w:bottom w:val="none" w:sz="0" w:space="0" w:color="auto"/>
        <w:right w:val="none" w:sz="0" w:space="0" w:color="auto"/>
      </w:divBdr>
    </w:div>
    <w:div w:id="204488821">
      <w:bodyDiv w:val="1"/>
      <w:marLeft w:val="0"/>
      <w:marRight w:val="0"/>
      <w:marTop w:val="0"/>
      <w:marBottom w:val="0"/>
      <w:divBdr>
        <w:top w:val="none" w:sz="0" w:space="0" w:color="auto"/>
        <w:left w:val="none" w:sz="0" w:space="0" w:color="auto"/>
        <w:bottom w:val="none" w:sz="0" w:space="0" w:color="auto"/>
        <w:right w:val="none" w:sz="0" w:space="0" w:color="auto"/>
      </w:divBdr>
    </w:div>
    <w:div w:id="230042142">
      <w:bodyDiv w:val="1"/>
      <w:marLeft w:val="0"/>
      <w:marRight w:val="0"/>
      <w:marTop w:val="0"/>
      <w:marBottom w:val="0"/>
      <w:divBdr>
        <w:top w:val="none" w:sz="0" w:space="0" w:color="auto"/>
        <w:left w:val="none" w:sz="0" w:space="0" w:color="auto"/>
        <w:bottom w:val="none" w:sz="0" w:space="0" w:color="auto"/>
        <w:right w:val="none" w:sz="0" w:space="0" w:color="auto"/>
      </w:divBdr>
    </w:div>
    <w:div w:id="284122287">
      <w:bodyDiv w:val="1"/>
      <w:marLeft w:val="0"/>
      <w:marRight w:val="0"/>
      <w:marTop w:val="0"/>
      <w:marBottom w:val="0"/>
      <w:divBdr>
        <w:top w:val="none" w:sz="0" w:space="0" w:color="auto"/>
        <w:left w:val="none" w:sz="0" w:space="0" w:color="auto"/>
        <w:bottom w:val="none" w:sz="0" w:space="0" w:color="auto"/>
        <w:right w:val="none" w:sz="0" w:space="0" w:color="auto"/>
      </w:divBdr>
    </w:div>
    <w:div w:id="291061596">
      <w:bodyDiv w:val="1"/>
      <w:marLeft w:val="0"/>
      <w:marRight w:val="0"/>
      <w:marTop w:val="0"/>
      <w:marBottom w:val="0"/>
      <w:divBdr>
        <w:top w:val="none" w:sz="0" w:space="0" w:color="auto"/>
        <w:left w:val="none" w:sz="0" w:space="0" w:color="auto"/>
        <w:bottom w:val="none" w:sz="0" w:space="0" w:color="auto"/>
        <w:right w:val="none" w:sz="0" w:space="0" w:color="auto"/>
      </w:divBdr>
    </w:div>
    <w:div w:id="338389982">
      <w:bodyDiv w:val="1"/>
      <w:marLeft w:val="0"/>
      <w:marRight w:val="0"/>
      <w:marTop w:val="0"/>
      <w:marBottom w:val="0"/>
      <w:divBdr>
        <w:top w:val="none" w:sz="0" w:space="0" w:color="auto"/>
        <w:left w:val="none" w:sz="0" w:space="0" w:color="auto"/>
        <w:bottom w:val="none" w:sz="0" w:space="0" w:color="auto"/>
        <w:right w:val="none" w:sz="0" w:space="0" w:color="auto"/>
      </w:divBdr>
    </w:div>
    <w:div w:id="372923352">
      <w:bodyDiv w:val="1"/>
      <w:marLeft w:val="0"/>
      <w:marRight w:val="0"/>
      <w:marTop w:val="0"/>
      <w:marBottom w:val="0"/>
      <w:divBdr>
        <w:top w:val="none" w:sz="0" w:space="0" w:color="auto"/>
        <w:left w:val="none" w:sz="0" w:space="0" w:color="auto"/>
        <w:bottom w:val="none" w:sz="0" w:space="0" w:color="auto"/>
        <w:right w:val="none" w:sz="0" w:space="0" w:color="auto"/>
      </w:divBdr>
    </w:div>
    <w:div w:id="407315166">
      <w:bodyDiv w:val="1"/>
      <w:marLeft w:val="0"/>
      <w:marRight w:val="0"/>
      <w:marTop w:val="0"/>
      <w:marBottom w:val="0"/>
      <w:divBdr>
        <w:top w:val="none" w:sz="0" w:space="0" w:color="auto"/>
        <w:left w:val="none" w:sz="0" w:space="0" w:color="auto"/>
        <w:bottom w:val="none" w:sz="0" w:space="0" w:color="auto"/>
        <w:right w:val="none" w:sz="0" w:space="0" w:color="auto"/>
      </w:divBdr>
    </w:div>
    <w:div w:id="411782375">
      <w:bodyDiv w:val="1"/>
      <w:marLeft w:val="0"/>
      <w:marRight w:val="0"/>
      <w:marTop w:val="0"/>
      <w:marBottom w:val="0"/>
      <w:divBdr>
        <w:top w:val="none" w:sz="0" w:space="0" w:color="auto"/>
        <w:left w:val="none" w:sz="0" w:space="0" w:color="auto"/>
        <w:bottom w:val="none" w:sz="0" w:space="0" w:color="auto"/>
        <w:right w:val="none" w:sz="0" w:space="0" w:color="auto"/>
      </w:divBdr>
    </w:div>
    <w:div w:id="422725521">
      <w:bodyDiv w:val="1"/>
      <w:marLeft w:val="0"/>
      <w:marRight w:val="0"/>
      <w:marTop w:val="0"/>
      <w:marBottom w:val="0"/>
      <w:divBdr>
        <w:top w:val="none" w:sz="0" w:space="0" w:color="auto"/>
        <w:left w:val="none" w:sz="0" w:space="0" w:color="auto"/>
        <w:bottom w:val="none" w:sz="0" w:space="0" w:color="auto"/>
        <w:right w:val="none" w:sz="0" w:space="0" w:color="auto"/>
      </w:divBdr>
    </w:div>
    <w:div w:id="473832133">
      <w:bodyDiv w:val="1"/>
      <w:marLeft w:val="0"/>
      <w:marRight w:val="0"/>
      <w:marTop w:val="0"/>
      <w:marBottom w:val="0"/>
      <w:divBdr>
        <w:top w:val="none" w:sz="0" w:space="0" w:color="auto"/>
        <w:left w:val="none" w:sz="0" w:space="0" w:color="auto"/>
        <w:bottom w:val="none" w:sz="0" w:space="0" w:color="auto"/>
        <w:right w:val="none" w:sz="0" w:space="0" w:color="auto"/>
      </w:divBdr>
    </w:div>
    <w:div w:id="573976366">
      <w:bodyDiv w:val="1"/>
      <w:marLeft w:val="0"/>
      <w:marRight w:val="0"/>
      <w:marTop w:val="0"/>
      <w:marBottom w:val="0"/>
      <w:divBdr>
        <w:top w:val="none" w:sz="0" w:space="0" w:color="auto"/>
        <w:left w:val="none" w:sz="0" w:space="0" w:color="auto"/>
        <w:bottom w:val="none" w:sz="0" w:space="0" w:color="auto"/>
        <w:right w:val="none" w:sz="0" w:space="0" w:color="auto"/>
      </w:divBdr>
    </w:div>
    <w:div w:id="601188630">
      <w:bodyDiv w:val="1"/>
      <w:marLeft w:val="0"/>
      <w:marRight w:val="0"/>
      <w:marTop w:val="0"/>
      <w:marBottom w:val="0"/>
      <w:divBdr>
        <w:top w:val="none" w:sz="0" w:space="0" w:color="auto"/>
        <w:left w:val="none" w:sz="0" w:space="0" w:color="auto"/>
        <w:bottom w:val="none" w:sz="0" w:space="0" w:color="auto"/>
        <w:right w:val="none" w:sz="0" w:space="0" w:color="auto"/>
      </w:divBdr>
    </w:div>
    <w:div w:id="612900402">
      <w:bodyDiv w:val="1"/>
      <w:marLeft w:val="0"/>
      <w:marRight w:val="0"/>
      <w:marTop w:val="0"/>
      <w:marBottom w:val="0"/>
      <w:divBdr>
        <w:top w:val="none" w:sz="0" w:space="0" w:color="auto"/>
        <w:left w:val="none" w:sz="0" w:space="0" w:color="auto"/>
        <w:bottom w:val="none" w:sz="0" w:space="0" w:color="auto"/>
        <w:right w:val="none" w:sz="0" w:space="0" w:color="auto"/>
      </w:divBdr>
    </w:div>
    <w:div w:id="685325332">
      <w:bodyDiv w:val="1"/>
      <w:marLeft w:val="0"/>
      <w:marRight w:val="0"/>
      <w:marTop w:val="0"/>
      <w:marBottom w:val="0"/>
      <w:divBdr>
        <w:top w:val="none" w:sz="0" w:space="0" w:color="auto"/>
        <w:left w:val="none" w:sz="0" w:space="0" w:color="auto"/>
        <w:bottom w:val="none" w:sz="0" w:space="0" w:color="auto"/>
        <w:right w:val="none" w:sz="0" w:space="0" w:color="auto"/>
      </w:divBdr>
    </w:div>
    <w:div w:id="873808923">
      <w:bodyDiv w:val="1"/>
      <w:marLeft w:val="0"/>
      <w:marRight w:val="0"/>
      <w:marTop w:val="0"/>
      <w:marBottom w:val="0"/>
      <w:divBdr>
        <w:top w:val="none" w:sz="0" w:space="0" w:color="auto"/>
        <w:left w:val="none" w:sz="0" w:space="0" w:color="auto"/>
        <w:bottom w:val="none" w:sz="0" w:space="0" w:color="auto"/>
        <w:right w:val="none" w:sz="0" w:space="0" w:color="auto"/>
      </w:divBdr>
    </w:div>
    <w:div w:id="918293893">
      <w:bodyDiv w:val="1"/>
      <w:marLeft w:val="0"/>
      <w:marRight w:val="0"/>
      <w:marTop w:val="0"/>
      <w:marBottom w:val="0"/>
      <w:divBdr>
        <w:top w:val="none" w:sz="0" w:space="0" w:color="auto"/>
        <w:left w:val="none" w:sz="0" w:space="0" w:color="auto"/>
        <w:bottom w:val="none" w:sz="0" w:space="0" w:color="auto"/>
        <w:right w:val="none" w:sz="0" w:space="0" w:color="auto"/>
      </w:divBdr>
    </w:div>
    <w:div w:id="1008214650">
      <w:bodyDiv w:val="1"/>
      <w:marLeft w:val="0"/>
      <w:marRight w:val="0"/>
      <w:marTop w:val="0"/>
      <w:marBottom w:val="0"/>
      <w:divBdr>
        <w:top w:val="none" w:sz="0" w:space="0" w:color="auto"/>
        <w:left w:val="none" w:sz="0" w:space="0" w:color="auto"/>
        <w:bottom w:val="none" w:sz="0" w:space="0" w:color="auto"/>
        <w:right w:val="none" w:sz="0" w:space="0" w:color="auto"/>
      </w:divBdr>
    </w:div>
    <w:div w:id="1119688492">
      <w:bodyDiv w:val="1"/>
      <w:marLeft w:val="0"/>
      <w:marRight w:val="0"/>
      <w:marTop w:val="0"/>
      <w:marBottom w:val="0"/>
      <w:divBdr>
        <w:top w:val="none" w:sz="0" w:space="0" w:color="auto"/>
        <w:left w:val="none" w:sz="0" w:space="0" w:color="auto"/>
        <w:bottom w:val="none" w:sz="0" w:space="0" w:color="auto"/>
        <w:right w:val="none" w:sz="0" w:space="0" w:color="auto"/>
      </w:divBdr>
    </w:div>
    <w:div w:id="1314869585">
      <w:bodyDiv w:val="1"/>
      <w:marLeft w:val="0"/>
      <w:marRight w:val="0"/>
      <w:marTop w:val="0"/>
      <w:marBottom w:val="0"/>
      <w:divBdr>
        <w:top w:val="none" w:sz="0" w:space="0" w:color="auto"/>
        <w:left w:val="none" w:sz="0" w:space="0" w:color="auto"/>
        <w:bottom w:val="none" w:sz="0" w:space="0" w:color="auto"/>
        <w:right w:val="none" w:sz="0" w:space="0" w:color="auto"/>
      </w:divBdr>
    </w:div>
    <w:div w:id="1532458104">
      <w:bodyDiv w:val="1"/>
      <w:marLeft w:val="0"/>
      <w:marRight w:val="0"/>
      <w:marTop w:val="0"/>
      <w:marBottom w:val="0"/>
      <w:divBdr>
        <w:top w:val="none" w:sz="0" w:space="0" w:color="auto"/>
        <w:left w:val="none" w:sz="0" w:space="0" w:color="auto"/>
        <w:bottom w:val="none" w:sz="0" w:space="0" w:color="auto"/>
        <w:right w:val="none" w:sz="0" w:space="0" w:color="auto"/>
      </w:divBdr>
    </w:div>
    <w:div w:id="1569001730">
      <w:bodyDiv w:val="1"/>
      <w:marLeft w:val="0"/>
      <w:marRight w:val="0"/>
      <w:marTop w:val="0"/>
      <w:marBottom w:val="0"/>
      <w:divBdr>
        <w:top w:val="none" w:sz="0" w:space="0" w:color="auto"/>
        <w:left w:val="none" w:sz="0" w:space="0" w:color="auto"/>
        <w:bottom w:val="none" w:sz="0" w:space="0" w:color="auto"/>
        <w:right w:val="none" w:sz="0" w:space="0" w:color="auto"/>
      </w:divBdr>
    </w:div>
    <w:div w:id="1582179924">
      <w:bodyDiv w:val="1"/>
      <w:marLeft w:val="0"/>
      <w:marRight w:val="0"/>
      <w:marTop w:val="0"/>
      <w:marBottom w:val="0"/>
      <w:divBdr>
        <w:top w:val="none" w:sz="0" w:space="0" w:color="auto"/>
        <w:left w:val="none" w:sz="0" w:space="0" w:color="auto"/>
        <w:bottom w:val="none" w:sz="0" w:space="0" w:color="auto"/>
        <w:right w:val="none" w:sz="0" w:space="0" w:color="auto"/>
      </w:divBdr>
    </w:div>
    <w:div w:id="1804931430">
      <w:bodyDiv w:val="1"/>
      <w:marLeft w:val="0"/>
      <w:marRight w:val="0"/>
      <w:marTop w:val="0"/>
      <w:marBottom w:val="0"/>
      <w:divBdr>
        <w:top w:val="none" w:sz="0" w:space="0" w:color="auto"/>
        <w:left w:val="none" w:sz="0" w:space="0" w:color="auto"/>
        <w:bottom w:val="none" w:sz="0" w:space="0" w:color="auto"/>
        <w:right w:val="none" w:sz="0" w:space="0" w:color="auto"/>
      </w:divBdr>
    </w:div>
    <w:div w:id="1875575951">
      <w:bodyDiv w:val="1"/>
      <w:marLeft w:val="0"/>
      <w:marRight w:val="0"/>
      <w:marTop w:val="0"/>
      <w:marBottom w:val="0"/>
      <w:divBdr>
        <w:top w:val="none" w:sz="0" w:space="0" w:color="auto"/>
        <w:left w:val="none" w:sz="0" w:space="0" w:color="auto"/>
        <w:bottom w:val="none" w:sz="0" w:space="0" w:color="auto"/>
        <w:right w:val="none" w:sz="0" w:space="0" w:color="auto"/>
      </w:divBdr>
      <w:divsChild>
        <w:div w:id="1090008315">
          <w:marLeft w:val="0"/>
          <w:marRight w:val="0"/>
          <w:marTop w:val="0"/>
          <w:marBottom w:val="0"/>
          <w:divBdr>
            <w:top w:val="none" w:sz="0" w:space="0" w:color="auto"/>
            <w:left w:val="none" w:sz="0" w:space="0" w:color="auto"/>
            <w:bottom w:val="none" w:sz="0" w:space="0" w:color="auto"/>
            <w:right w:val="none" w:sz="0" w:space="0" w:color="auto"/>
          </w:divBdr>
        </w:div>
        <w:div w:id="447242551">
          <w:marLeft w:val="0"/>
          <w:marRight w:val="0"/>
          <w:marTop w:val="0"/>
          <w:marBottom w:val="0"/>
          <w:divBdr>
            <w:top w:val="none" w:sz="0" w:space="0" w:color="auto"/>
            <w:left w:val="none" w:sz="0" w:space="0" w:color="auto"/>
            <w:bottom w:val="none" w:sz="0" w:space="0" w:color="auto"/>
            <w:right w:val="none" w:sz="0" w:space="0" w:color="auto"/>
          </w:divBdr>
        </w:div>
        <w:div w:id="468941001">
          <w:marLeft w:val="0"/>
          <w:marRight w:val="0"/>
          <w:marTop w:val="0"/>
          <w:marBottom w:val="0"/>
          <w:divBdr>
            <w:top w:val="none" w:sz="0" w:space="0" w:color="auto"/>
            <w:left w:val="none" w:sz="0" w:space="0" w:color="auto"/>
            <w:bottom w:val="none" w:sz="0" w:space="0" w:color="auto"/>
            <w:right w:val="none" w:sz="0" w:space="0" w:color="auto"/>
          </w:divBdr>
        </w:div>
        <w:div w:id="1917208697">
          <w:marLeft w:val="0"/>
          <w:marRight w:val="0"/>
          <w:marTop w:val="0"/>
          <w:marBottom w:val="0"/>
          <w:divBdr>
            <w:top w:val="none" w:sz="0" w:space="0" w:color="auto"/>
            <w:left w:val="none" w:sz="0" w:space="0" w:color="auto"/>
            <w:bottom w:val="none" w:sz="0" w:space="0" w:color="auto"/>
            <w:right w:val="none" w:sz="0" w:space="0" w:color="auto"/>
          </w:divBdr>
        </w:div>
        <w:div w:id="1603686667">
          <w:marLeft w:val="0"/>
          <w:marRight w:val="0"/>
          <w:marTop w:val="0"/>
          <w:marBottom w:val="0"/>
          <w:divBdr>
            <w:top w:val="none" w:sz="0" w:space="0" w:color="auto"/>
            <w:left w:val="none" w:sz="0" w:space="0" w:color="auto"/>
            <w:bottom w:val="none" w:sz="0" w:space="0" w:color="auto"/>
            <w:right w:val="none" w:sz="0" w:space="0" w:color="auto"/>
          </w:divBdr>
        </w:div>
        <w:div w:id="934938889">
          <w:marLeft w:val="0"/>
          <w:marRight w:val="0"/>
          <w:marTop w:val="0"/>
          <w:marBottom w:val="0"/>
          <w:divBdr>
            <w:top w:val="none" w:sz="0" w:space="0" w:color="auto"/>
            <w:left w:val="none" w:sz="0" w:space="0" w:color="auto"/>
            <w:bottom w:val="none" w:sz="0" w:space="0" w:color="auto"/>
            <w:right w:val="none" w:sz="0" w:space="0" w:color="auto"/>
          </w:divBdr>
        </w:div>
        <w:div w:id="944271494">
          <w:marLeft w:val="0"/>
          <w:marRight w:val="0"/>
          <w:marTop w:val="0"/>
          <w:marBottom w:val="0"/>
          <w:divBdr>
            <w:top w:val="none" w:sz="0" w:space="0" w:color="auto"/>
            <w:left w:val="none" w:sz="0" w:space="0" w:color="auto"/>
            <w:bottom w:val="none" w:sz="0" w:space="0" w:color="auto"/>
            <w:right w:val="none" w:sz="0" w:space="0" w:color="auto"/>
          </w:divBdr>
        </w:div>
      </w:divsChild>
    </w:div>
    <w:div w:id="1882207681">
      <w:bodyDiv w:val="1"/>
      <w:marLeft w:val="0"/>
      <w:marRight w:val="0"/>
      <w:marTop w:val="0"/>
      <w:marBottom w:val="0"/>
      <w:divBdr>
        <w:top w:val="none" w:sz="0" w:space="0" w:color="auto"/>
        <w:left w:val="none" w:sz="0" w:space="0" w:color="auto"/>
        <w:bottom w:val="none" w:sz="0" w:space="0" w:color="auto"/>
        <w:right w:val="none" w:sz="0" w:space="0" w:color="auto"/>
      </w:divBdr>
    </w:div>
    <w:div w:id="20431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Samba.sylla@ucad.edu.sn</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A8862-0022-554A-8631-77C69EBA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8400</Words>
  <Characters>46206</Characters>
  <Application>Microsoft Office Word</Application>
  <DocSecurity>0</DocSecurity>
  <Lines>385</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 Samba Ndao SYLLA</dc:creator>
  <cp:keywords/>
  <dc:description/>
  <cp:lastModifiedBy>El Hadj Samba Ndao SYLLA</cp:lastModifiedBy>
  <cp:revision>2</cp:revision>
  <dcterms:created xsi:type="dcterms:W3CDTF">2022-05-09T17:03:00Z</dcterms:created>
  <dcterms:modified xsi:type="dcterms:W3CDTF">2022-05-09T17:03:00Z</dcterms:modified>
</cp:coreProperties>
</file>